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E3B" w:rsidRPr="00300E3B" w:rsidRDefault="00300E3B" w:rsidP="00300E3B">
      <w:pPr>
        <w:spacing w:before="480"/>
        <w:jc w:val="center"/>
        <w:rPr>
          <w:rFonts w:asciiTheme="minorHAnsi" w:hAnsiTheme="minorHAnsi" w:cstheme="minorHAnsi"/>
          <w:b/>
        </w:rPr>
      </w:pPr>
      <w:r w:rsidRPr="00300E3B">
        <w:rPr>
          <w:rFonts w:asciiTheme="minorHAnsi" w:hAnsiTheme="minorHAnsi" w:cstheme="minorHAnsi"/>
          <w:b/>
        </w:rPr>
        <w:t>Wyatt Attorneys Recognized as “Ones to Watch”</w:t>
      </w:r>
      <w:r w:rsidRPr="00300E3B">
        <w:rPr>
          <w:rFonts w:asciiTheme="minorHAnsi" w:hAnsiTheme="minorHAnsi" w:cstheme="minorHAnsi"/>
          <w:b/>
        </w:rPr>
        <w:br/>
        <w:t xml:space="preserve">by </w:t>
      </w:r>
      <w:r w:rsidRPr="00300E3B">
        <w:rPr>
          <w:rFonts w:asciiTheme="minorHAnsi" w:hAnsiTheme="minorHAnsi" w:cstheme="minorHAnsi"/>
          <w:b/>
          <w:i/>
        </w:rPr>
        <w:t>Best Lawyers</w:t>
      </w:r>
      <w:r w:rsidRPr="00300E3B">
        <w:rPr>
          <w:rFonts w:asciiTheme="minorHAnsi" w:hAnsiTheme="minorHAnsi" w:cstheme="minorHAnsi"/>
          <w:b/>
        </w:rPr>
        <w:t>® 202</w:t>
      </w:r>
      <w:r>
        <w:rPr>
          <w:rFonts w:asciiTheme="minorHAnsi" w:hAnsiTheme="minorHAnsi" w:cstheme="minorHAnsi"/>
          <w:b/>
        </w:rPr>
        <w:t>3</w:t>
      </w:r>
      <w:r w:rsidRPr="00300E3B">
        <w:rPr>
          <w:rFonts w:asciiTheme="minorHAnsi" w:hAnsiTheme="minorHAnsi" w:cstheme="minorHAnsi"/>
          <w:b/>
        </w:rPr>
        <w:t xml:space="preserve"> Edition</w:t>
      </w:r>
    </w:p>
    <w:p w:rsidR="00300E3B" w:rsidRPr="00300E3B" w:rsidRDefault="00300E3B" w:rsidP="00300E3B">
      <w:pPr>
        <w:spacing w:after="120"/>
        <w:rPr>
          <w:rFonts w:asciiTheme="minorHAnsi" w:hAnsiTheme="minorHAnsi" w:cstheme="minorHAnsi"/>
          <w:b/>
        </w:rPr>
      </w:pPr>
    </w:p>
    <w:p w:rsidR="00300E3B" w:rsidRPr="00300E3B" w:rsidRDefault="00300E3B" w:rsidP="00C6707C">
      <w:pPr>
        <w:spacing w:after="240"/>
        <w:rPr>
          <w:rFonts w:asciiTheme="minorHAnsi" w:hAnsiTheme="minorHAnsi" w:cstheme="minorHAnsi"/>
        </w:rPr>
      </w:pPr>
      <w:r w:rsidRPr="00300E3B">
        <w:rPr>
          <w:rFonts w:asciiTheme="minorHAnsi" w:hAnsiTheme="minorHAnsi" w:cstheme="minorHAnsi"/>
          <w:b/>
        </w:rPr>
        <w:t xml:space="preserve">August </w:t>
      </w:r>
      <w:r>
        <w:rPr>
          <w:rFonts w:asciiTheme="minorHAnsi" w:hAnsiTheme="minorHAnsi" w:cstheme="minorHAnsi"/>
          <w:b/>
        </w:rPr>
        <w:t>18, 2022</w:t>
      </w:r>
      <w:r w:rsidRPr="00300E3B">
        <w:rPr>
          <w:rFonts w:asciiTheme="minorHAnsi" w:hAnsiTheme="minorHAnsi" w:cstheme="minorHAnsi"/>
          <w:b/>
        </w:rPr>
        <w:t>.</w:t>
      </w:r>
      <w:r w:rsidRPr="00300E3B">
        <w:rPr>
          <w:rFonts w:asciiTheme="minorHAnsi" w:hAnsiTheme="minorHAnsi" w:cstheme="minorHAnsi"/>
        </w:rPr>
        <w:t xml:space="preserve">  Wyatt, Tarrant &amp; Combs, LLP is pleased to announce that ten of its lawyers have been recognized in their respective practice areas by </w:t>
      </w:r>
      <w:r w:rsidRPr="00300E3B">
        <w:rPr>
          <w:rFonts w:asciiTheme="minorHAnsi" w:hAnsiTheme="minorHAnsi" w:cstheme="minorHAnsi"/>
          <w:i/>
        </w:rPr>
        <w:t>Best Lawyers</w:t>
      </w:r>
      <w:r w:rsidRPr="00300E3B">
        <w:rPr>
          <w:rFonts w:asciiTheme="minorHAnsi" w:hAnsiTheme="minorHAnsi" w:cstheme="minorHAnsi"/>
        </w:rPr>
        <w:t>® as “Ones to Watch” in the publication’s 202</w:t>
      </w:r>
      <w:r>
        <w:rPr>
          <w:rFonts w:asciiTheme="minorHAnsi" w:hAnsiTheme="minorHAnsi" w:cstheme="minorHAnsi"/>
        </w:rPr>
        <w:t>3</w:t>
      </w:r>
      <w:r w:rsidRPr="00300E3B">
        <w:rPr>
          <w:rFonts w:asciiTheme="minorHAnsi" w:hAnsiTheme="minorHAnsi" w:cstheme="minorHAnsi"/>
        </w:rPr>
        <w:t xml:space="preserve"> edition.  “Ones to Watch” recipients are determined by a peer-review process as up and coming attorneys who demonstrate outstanding professional excellence.  </w:t>
      </w:r>
      <w:r w:rsidRPr="00300E3B">
        <w:rPr>
          <w:rFonts w:asciiTheme="minorHAnsi" w:hAnsiTheme="minorHAnsi" w:cstheme="minorHAnsi"/>
          <w:i/>
        </w:rPr>
        <w:t>Best Lawyers</w:t>
      </w:r>
      <w:r w:rsidR="00C6707C" w:rsidRPr="00300E3B">
        <w:rPr>
          <w:rFonts w:asciiTheme="minorHAnsi" w:hAnsiTheme="minorHAnsi" w:cstheme="minorHAnsi"/>
        </w:rPr>
        <w:t>®</w:t>
      </w:r>
      <w:r w:rsidRPr="00300E3B">
        <w:rPr>
          <w:rFonts w:asciiTheme="minorHAnsi" w:hAnsiTheme="minorHAnsi" w:cstheme="minorHAnsi"/>
          <w:i/>
        </w:rPr>
        <w:t xml:space="preserve"> </w:t>
      </w:r>
      <w:r w:rsidRPr="00300E3B">
        <w:rPr>
          <w:rFonts w:asciiTheme="minorHAnsi" w:hAnsiTheme="minorHAnsi" w:cstheme="minorHAnsi"/>
        </w:rPr>
        <w:t xml:space="preserve">is the oldest and most respected peer-review publication in the legal profession.  </w:t>
      </w:r>
    </w:p>
    <w:p w:rsidR="00300E3B" w:rsidRP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 xml:space="preserve">Mary Elizabeth Anderson: </w:t>
      </w:r>
      <w:r w:rsidRPr="00300E3B">
        <w:rPr>
          <w:rFonts w:asciiTheme="minorHAnsi" w:hAnsiTheme="minorHAnsi" w:cstheme="minorHAnsi"/>
          <w:bCs/>
        </w:rPr>
        <w:t xml:space="preserve"> Trusts and Estates - Louisville</w:t>
      </w:r>
    </w:p>
    <w:p w:rsidR="00300E3B" w:rsidRP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 xml:space="preserve">Max E. Bridges: </w:t>
      </w:r>
      <w:r w:rsidRPr="00300E3B">
        <w:rPr>
          <w:rFonts w:asciiTheme="minorHAnsi" w:hAnsiTheme="minorHAnsi" w:cstheme="minorHAnsi"/>
          <w:bCs/>
        </w:rPr>
        <w:t xml:space="preserve"> Environmental Law </w:t>
      </w:r>
      <w:r w:rsidRPr="00300E3B">
        <w:rPr>
          <w:rFonts w:ascii="Arial" w:hAnsi="Arial" w:cs="Arial"/>
        </w:rPr>
        <w:t>●</w:t>
      </w:r>
      <w:r w:rsidRPr="00300E3B">
        <w:rPr>
          <w:rFonts w:asciiTheme="minorHAnsi" w:hAnsiTheme="minorHAnsi" w:cstheme="minorHAnsi"/>
          <w:bCs/>
        </w:rPr>
        <w:t xml:space="preserve"> Patent Law - Louisville</w:t>
      </w:r>
    </w:p>
    <w:p w:rsidR="00300E3B" w:rsidRP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>Emily Irwin:</w:t>
      </w:r>
      <w:r w:rsidRPr="00300E3B">
        <w:rPr>
          <w:rFonts w:asciiTheme="minorHAnsi" w:hAnsiTheme="minorHAnsi" w:cstheme="minorHAnsi"/>
          <w:bCs/>
        </w:rPr>
        <w:t xml:space="preserve">  Corporate Law </w:t>
      </w:r>
      <w:r w:rsidRPr="00300E3B">
        <w:rPr>
          <w:rFonts w:ascii="Arial" w:hAnsi="Arial" w:cs="Arial"/>
        </w:rPr>
        <w:t>●</w:t>
      </w:r>
      <w:r w:rsidRPr="00300E3B">
        <w:rPr>
          <w:rFonts w:asciiTheme="minorHAnsi" w:hAnsiTheme="minorHAnsi" w:cstheme="minorHAnsi"/>
          <w:bCs/>
        </w:rPr>
        <w:t xml:space="preserve"> Mergers and Acquisitions Law - Louisville</w:t>
      </w:r>
    </w:p>
    <w:p w:rsid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 xml:space="preserve">Lindsay K. Scott: </w:t>
      </w:r>
      <w:r w:rsidRPr="00300E3B">
        <w:rPr>
          <w:rFonts w:asciiTheme="minorHAnsi" w:hAnsiTheme="minorHAnsi" w:cstheme="minorHAnsi"/>
          <w:bCs/>
        </w:rPr>
        <w:t xml:space="preserve"> Health Care Law </w:t>
      </w:r>
      <w:r w:rsidR="00384FFE">
        <w:rPr>
          <w:rFonts w:asciiTheme="minorHAnsi" w:hAnsiTheme="minorHAnsi" w:cstheme="minorHAnsi"/>
          <w:bCs/>
        </w:rPr>
        <w:t>–</w:t>
      </w:r>
      <w:r w:rsidRPr="00300E3B">
        <w:rPr>
          <w:rFonts w:asciiTheme="minorHAnsi" w:hAnsiTheme="minorHAnsi" w:cstheme="minorHAnsi"/>
          <w:bCs/>
        </w:rPr>
        <w:t xml:space="preserve"> Louisville</w:t>
      </w:r>
    </w:p>
    <w:p w:rsidR="00384FFE" w:rsidRPr="00300E3B" w:rsidRDefault="00384FFE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84FFE">
        <w:rPr>
          <w:rFonts w:asciiTheme="minorHAnsi" w:hAnsiTheme="minorHAnsi" w:cstheme="minorHAnsi"/>
          <w:b/>
          <w:bCs/>
        </w:rPr>
        <w:t xml:space="preserve">R. Joseph Stennis, Jr.: </w:t>
      </w:r>
      <w:r>
        <w:rPr>
          <w:rFonts w:asciiTheme="minorHAnsi" w:hAnsiTheme="minorHAnsi" w:cstheme="minorHAnsi"/>
          <w:bCs/>
        </w:rPr>
        <w:t xml:space="preserve"> Labor and Employment Law </w:t>
      </w:r>
      <w:r w:rsidR="00C6707C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Management</w:t>
      </w:r>
      <w:r w:rsidR="00C6707C">
        <w:rPr>
          <w:rFonts w:asciiTheme="minorHAnsi" w:hAnsiTheme="minorHAnsi" w:cstheme="minorHAnsi"/>
          <w:bCs/>
        </w:rPr>
        <w:t xml:space="preserve"> - Louisville</w:t>
      </w:r>
      <w:bookmarkStart w:id="0" w:name="_GoBack"/>
      <w:bookmarkEnd w:id="0"/>
    </w:p>
    <w:p w:rsid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>R. Benjamin Straus</w:t>
      </w:r>
      <w:r w:rsidRPr="00300E3B">
        <w:rPr>
          <w:rFonts w:asciiTheme="minorHAnsi" w:hAnsiTheme="minorHAnsi" w:cstheme="minorHAnsi"/>
          <w:bCs/>
        </w:rPr>
        <w:t xml:space="preserve">:  Real Estate Law </w:t>
      </w:r>
      <w:r w:rsidR="00384FFE">
        <w:rPr>
          <w:rFonts w:asciiTheme="minorHAnsi" w:hAnsiTheme="minorHAnsi" w:cstheme="minorHAnsi"/>
          <w:bCs/>
        </w:rPr>
        <w:t>–</w:t>
      </w:r>
      <w:r w:rsidRPr="00300E3B">
        <w:rPr>
          <w:rFonts w:asciiTheme="minorHAnsi" w:hAnsiTheme="minorHAnsi" w:cstheme="minorHAnsi"/>
          <w:bCs/>
        </w:rPr>
        <w:t xml:space="preserve"> Louisville</w:t>
      </w:r>
    </w:p>
    <w:p w:rsidR="00300E3B" w:rsidRP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>Thomas E. Travis:</w:t>
      </w:r>
      <w:r w:rsidRPr="00300E3B">
        <w:rPr>
          <w:rFonts w:asciiTheme="minorHAnsi" w:hAnsiTheme="minorHAnsi" w:cstheme="minorHAnsi"/>
          <w:bCs/>
        </w:rPr>
        <w:t xml:space="preserve">  Commercial Litigation </w:t>
      </w:r>
      <w:r w:rsidRPr="00300E3B">
        <w:rPr>
          <w:rFonts w:ascii="Arial" w:hAnsi="Arial" w:cs="Arial"/>
        </w:rPr>
        <w:t>●</w:t>
      </w:r>
      <w:r w:rsidRPr="00300E3B">
        <w:rPr>
          <w:rFonts w:asciiTheme="minorHAnsi" w:hAnsiTheme="minorHAnsi" w:cstheme="minorHAnsi"/>
          <w:bCs/>
        </w:rPr>
        <w:t xml:space="preserve"> Litigation - Labor and Employment - Lexington</w:t>
      </w:r>
    </w:p>
    <w:p w:rsidR="00300E3B" w:rsidRDefault="00300E3B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00E3B">
        <w:rPr>
          <w:rFonts w:asciiTheme="minorHAnsi" w:hAnsiTheme="minorHAnsi" w:cstheme="minorHAnsi"/>
          <w:b/>
          <w:bCs/>
        </w:rPr>
        <w:t>Julie Laemmle Watts:</w:t>
      </w:r>
      <w:r w:rsidRPr="00300E3B">
        <w:rPr>
          <w:rFonts w:asciiTheme="minorHAnsi" w:hAnsiTheme="minorHAnsi" w:cstheme="minorHAnsi"/>
          <w:bCs/>
        </w:rPr>
        <w:t xml:space="preserve">  Intellectual Property Law </w:t>
      </w:r>
      <w:r w:rsidR="00384FFE">
        <w:rPr>
          <w:rFonts w:asciiTheme="minorHAnsi" w:hAnsiTheme="minorHAnsi" w:cstheme="minorHAnsi"/>
          <w:bCs/>
        </w:rPr>
        <w:t>–</w:t>
      </w:r>
      <w:r w:rsidRPr="00300E3B">
        <w:rPr>
          <w:rFonts w:asciiTheme="minorHAnsi" w:hAnsiTheme="minorHAnsi" w:cstheme="minorHAnsi"/>
          <w:bCs/>
        </w:rPr>
        <w:t xml:space="preserve"> Louisville</w:t>
      </w:r>
    </w:p>
    <w:p w:rsidR="00384FFE" w:rsidRPr="00300E3B" w:rsidRDefault="00384FFE" w:rsidP="00300E3B">
      <w:pPr>
        <w:spacing w:after="120" w:line="360" w:lineRule="auto"/>
        <w:rPr>
          <w:rFonts w:asciiTheme="minorHAnsi" w:hAnsiTheme="minorHAnsi" w:cstheme="minorHAnsi"/>
          <w:bCs/>
        </w:rPr>
      </w:pPr>
      <w:r w:rsidRPr="00384FFE">
        <w:rPr>
          <w:rFonts w:asciiTheme="minorHAnsi" w:hAnsiTheme="minorHAnsi" w:cstheme="minorHAnsi"/>
          <w:b/>
          <w:bCs/>
        </w:rPr>
        <w:t>Jordan M. White:</w:t>
      </w:r>
      <w:r>
        <w:rPr>
          <w:rFonts w:asciiTheme="minorHAnsi" w:hAnsiTheme="minorHAnsi" w:cstheme="minorHAnsi"/>
          <w:bCs/>
        </w:rPr>
        <w:t xml:space="preserve">  Commercial Litigation - Louisville</w:t>
      </w:r>
    </w:p>
    <w:p w:rsidR="00300E3B" w:rsidRPr="00300E3B" w:rsidRDefault="00300E3B" w:rsidP="00300E3B">
      <w:pPr>
        <w:spacing w:after="120" w:line="360" w:lineRule="auto"/>
        <w:rPr>
          <w:rFonts w:ascii="Arial" w:hAnsi="Arial" w:cs="Arial"/>
          <w:bCs/>
        </w:rPr>
      </w:pPr>
      <w:r w:rsidRPr="00300E3B">
        <w:rPr>
          <w:rFonts w:asciiTheme="minorHAnsi" w:hAnsiTheme="minorHAnsi" w:cstheme="minorHAnsi"/>
          <w:b/>
          <w:bCs/>
        </w:rPr>
        <w:t>Sean G. Williamson:</w:t>
      </w:r>
      <w:r w:rsidRPr="00300E3B">
        <w:rPr>
          <w:rFonts w:asciiTheme="minorHAnsi" w:hAnsiTheme="minorHAnsi" w:cstheme="minorHAnsi"/>
          <w:bCs/>
        </w:rPr>
        <w:t xml:space="preserve">  Commercial Litigation - Louisville</w:t>
      </w:r>
    </w:p>
    <w:p w:rsidR="004478DC" w:rsidRDefault="004478DC" w:rsidP="00FC0CE6">
      <w:pPr>
        <w:pStyle w:val="ShortLines"/>
        <w:spacing w:after="0"/>
        <w:jc w:val="center"/>
        <w:rPr>
          <w:rFonts w:asciiTheme="majorHAnsi" w:hAnsiTheme="majorHAnsi" w:cs="Arial"/>
          <w:b/>
        </w:rPr>
      </w:pPr>
    </w:p>
    <w:p w:rsidR="008F49DC" w:rsidRDefault="008F49DC" w:rsidP="00FC0CE6">
      <w:pPr>
        <w:pStyle w:val="ShortLines"/>
        <w:spacing w:after="0"/>
        <w:jc w:val="center"/>
        <w:rPr>
          <w:rFonts w:asciiTheme="majorHAnsi" w:hAnsiTheme="majorHAnsi" w:cs="Arial"/>
          <w:b/>
        </w:rPr>
      </w:pPr>
    </w:p>
    <w:p w:rsidR="00FC0CE6" w:rsidRPr="004478DC" w:rsidRDefault="00FC0CE6" w:rsidP="00FC0CE6">
      <w:pPr>
        <w:pStyle w:val="ShortLines"/>
        <w:spacing w:after="0"/>
        <w:rPr>
          <w:rFonts w:asciiTheme="minorHAnsi" w:hAnsiTheme="minorHAnsi" w:cstheme="minorHAnsi"/>
        </w:rPr>
      </w:pPr>
    </w:p>
    <w:p w:rsidR="00FC0CE6" w:rsidRPr="004478DC" w:rsidRDefault="00FC0CE6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</w:p>
    <w:p w:rsidR="00FC0CE6" w:rsidRPr="004478DC" w:rsidRDefault="00FC0CE6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lastRenderedPageBreak/>
        <w:t xml:space="preserve">Wyatt, Tarrant &amp; Combs, LLP maintains an active national practice with five offices located in Louisville and Lexington, Kentucky; New Albany, Indiana; and Memphis and Nashville, Tennessee.  The firm’s structure and industry-focused practice groups enable efficient and effective delivery of legal services.  Wyatt accomplishes its clients’ goals and objectives by committing </w:t>
      </w:r>
      <w:r w:rsidR="00EC0F55" w:rsidRPr="004478DC">
        <w:rPr>
          <w:rFonts w:asciiTheme="minorHAnsi" w:hAnsiTheme="minorHAnsi" w:cstheme="minorHAnsi"/>
        </w:rPr>
        <w:t>itself</w:t>
      </w:r>
      <w:r w:rsidRPr="004478DC">
        <w:rPr>
          <w:rFonts w:asciiTheme="minorHAnsi" w:hAnsiTheme="minorHAnsi" w:cstheme="minorHAnsi"/>
        </w:rPr>
        <w:t xml:space="preserve"> each day to </w:t>
      </w:r>
      <w:r w:rsidR="00801988">
        <w:rPr>
          <w:rFonts w:asciiTheme="minorHAnsi" w:hAnsiTheme="minorHAnsi" w:cstheme="minorHAnsi"/>
        </w:rPr>
        <w:t>the principle</w:t>
      </w:r>
      <w:r w:rsidRPr="004478DC">
        <w:rPr>
          <w:rFonts w:asciiTheme="minorHAnsi" w:hAnsiTheme="minorHAnsi" w:cstheme="minorHAnsi"/>
        </w:rPr>
        <w:t xml:space="preserve"> of “Your Success Defines Us.”  Wyatt is a founding participant firm in </w:t>
      </w:r>
      <w:hyperlink r:id="rId9" w:history="1">
        <w:proofErr w:type="spellStart"/>
        <w:r w:rsidRPr="004478DC">
          <w:rPr>
            <w:rStyle w:val="Hyperlink"/>
            <w:rFonts w:asciiTheme="minorHAnsi" w:hAnsiTheme="minorHAnsi" w:cstheme="minorHAnsi"/>
          </w:rPr>
          <w:t>AdvanceLaw</w:t>
        </w:r>
        <w:proofErr w:type="spellEnd"/>
      </w:hyperlink>
      <w:r w:rsidR="00670146" w:rsidRPr="004478DC">
        <w:rPr>
          <w:rFonts w:asciiTheme="minorHAnsi" w:hAnsiTheme="minorHAnsi" w:cstheme="minorHAnsi"/>
        </w:rPr>
        <w:t xml:space="preserve">.  </w:t>
      </w:r>
      <w:r w:rsidRPr="004478DC">
        <w:rPr>
          <w:rFonts w:asciiTheme="minorHAnsi" w:hAnsiTheme="minorHAnsi" w:cstheme="minorHAnsi"/>
        </w:rPr>
        <w:t xml:space="preserve">For more information about the legal counsel Wyatt provides, and its commitment to client service visit </w:t>
      </w:r>
      <w:hyperlink r:id="rId10" w:history="1">
        <w:r w:rsidRPr="004478DC">
          <w:rPr>
            <w:rStyle w:val="Hyperlink"/>
            <w:rFonts w:asciiTheme="minorHAnsi" w:hAnsiTheme="minorHAnsi" w:cstheme="minorHAnsi"/>
          </w:rPr>
          <w:t>wyattfirm.com</w:t>
        </w:r>
      </w:hyperlink>
      <w:r w:rsidRPr="004478DC">
        <w:rPr>
          <w:rFonts w:asciiTheme="minorHAnsi" w:hAnsiTheme="minorHAnsi" w:cstheme="minorHAnsi"/>
        </w:rPr>
        <w:t xml:space="preserve">.  </w:t>
      </w:r>
    </w:p>
    <w:p w:rsidR="00F9783A" w:rsidRPr="004478DC" w:rsidRDefault="00F9783A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</w:p>
    <w:p w:rsidR="00F9783A" w:rsidRPr="004478DC" w:rsidRDefault="00F9783A" w:rsidP="00F9783A">
      <w:pPr>
        <w:pStyle w:val="ShortLines"/>
        <w:spacing w:after="0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  <w:b/>
        </w:rPr>
        <w:t xml:space="preserve">Contact </w:t>
      </w:r>
    </w:p>
    <w:p w:rsidR="00124C22" w:rsidRPr="004478DC" w:rsidRDefault="00124C22" w:rsidP="00F9783A">
      <w:pPr>
        <w:pStyle w:val="ShortLines"/>
        <w:spacing w:after="0"/>
        <w:rPr>
          <w:rFonts w:asciiTheme="minorHAnsi" w:hAnsiTheme="minorHAnsi" w:cstheme="minorHAnsi"/>
          <w:b/>
        </w:rPr>
      </w:pP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</w:rPr>
        <w:t>Andrew J. Payton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Chief Marketing Officer and Director of Recruiting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Wyatt, Tarrant &amp; Combs, LLP</w:t>
      </w:r>
    </w:p>
    <w:p w:rsidR="00F9783A" w:rsidRPr="004478DC" w:rsidRDefault="004967E4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400 West Market Street, Suite 2000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Louisville, KY  40202</w:t>
      </w:r>
    </w:p>
    <w:p w:rsidR="00F9783A" w:rsidRPr="00960F09" w:rsidRDefault="00F9783A" w:rsidP="00F9783A">
      <w:pPr>
        <w:pStyle w:val="ShortLines"/>
        <w:rPr>
          <w:rFonts w:ascii="Arial" w:hAnsi="Arial" w:cs="Arial"/>
          <w:bCs/>
        </w:rPr>
      </w:pPr>
      <w:r w:rsidRPr="004478DC">
        <w:rPr>
          <w:rFonts w:asciiTheme="minorHAnsi" w:hAnsiTheme="minorHAnsi" w:cstheme="minorHAnsi"/>
        </w:rPr>
        <w:t>502.562.7160</w:t>
      </w:r>
      <w:r w:rsidRPr="004478DC">
        <w:rPr>
          <w:rFonts w:asciiTheme="minorHAnsi" w:hAnsiTheme="minorHAnsi" w:cstheme="minorHAnsi"/>
        </w:rPr>
        <w:br/>
      </w:r>
      <w:hyperlink r:id="rId11" w:history="1">
        <w:r w:rsidRPr="004478DC">
          <w:rPr>
            <w:rStyle w:val="Hyperlink"/>
            <w:rFonts w:asciiTheme="minorHAnsi" w:hAnsiTheme="minorHAnsi" w:cstheme="minorHAnsi"/>
          </w:rPr>
          <w:t>andrewpayton@wyattfirm.com</w:t>
        </w:r>
      </w:hyperlink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Default="001360FE">
      <w:pPr>
        <w:pStyle w:val="ShortLines"/>
        <w:spacing w:after="0"/>
        <w:rPr>
          <w:rFonts w:ascii="Arial" w:hAnsi="Arial" w:cs="Arial"/>
        </w:rPr>
      </w:pPr>
    </w:p>
    <w:sdt>
      <w:sdtPr>
        <w:alias w:val="BEC LegalBar File Stamp"/>
        <w:tag w:val="BEC.LegalBar.FileStamp"/>
        <w:id w:val="-79675863"/>
        <w:placeholder>
          <w:docPart w:val="55D7D115463341A2A7A3B6960CAE1E61"/>
        </w:placeholder>
      </w:sdtPr>
      <w:sdtEndPr/>
      <w:sdtContent>
        <w:p w:rsidR="00384FFE" w:rsidRPr="00960F09" w:rsidRDefault="00C6707C" w:rsidP="00384FFE">
          <w:pPr>
            <w:pStyle w:val="FileStampParagraph"/>
          </w:pPr>
          <w:sdt>
            <w:sdtPr>
              <w:rPr>
                <w:rStyle w:val="FileStampCharacter"/>
              </w:rPr>
              <w:tag w:val="BEC.LegalBar.FileStamp.DocNumber"/>
              <w:id w:val="1128283595"/>
              <w:placeholder>
                <w:docPart w:val="1E70008C601C48599A9456FA5CBA687B"/>
              </w:placeholder>
              <w:dataBinding w:prefixMappings="xmlns:ns='http://schemas.beclegal.com/legalbar/filestamp'" w:xpath="ns:filestamp/ns:DocNumber" w:storeItemID="{65E9840E-D101-422F-8EF0-41B1590B74DC}"/>
              <w:text/>
            </w:sdtPr>
            <w:sdtEndPr>
              <w:rPr>
                <w:rStyle w:val="DefaultParagraphFont"/>
                <w:snapToGrid/>
              </w:rPr>
            </w:sdtEndPr>
            <w:sdtContent>
              <w:r w:rsidR="00384FFE">
                <w:rPr>
                  <w:rStyle w:val="FileStampCharacter"/>
                </w:rPr>
                <w:t>100859170</w:t>
              </w:r>
            </w:sdtContent>
          </w:sdt>
          <w:sdt>
            <w:sdtPr>
              <w:rPr>
                <w:rStyle w:val="FileStampCharacter"/>
              </w:rPr>
              <w:tag w:val="BEC.LegalBar.FileStamp.Text"/>
              <w:id w:val="1957748165"/>
              <w:placeholder>
                <w:docPart w:val="2EFC204381FB4755990344FA3918EBBD"/>
              </w:placeholder>
              <w:text/>
            </w:sdtPr>
            <w:sdtEndPr>
              <w:rPr>
                <w:rStyle w:val="FileStampCharacter"/>
              </w:rPr>
            </w:sdtEndPr>
            <w:sdtContent>
              <w:r w:rsidR="00384FFE" w:rsidRPr="00384FFE">
                <w:rPr>
                  <w:rStyle w:val="FileStampCharacter"/>
                </w:rPr>
                <w:t>.</w:t>
              </w:r>
            </w:sdtContent>
          </w:sdt>
          <w:sdt>
            <w:sdtPr>
              <w:rPr>
                <w:rStyle w:val="FileStampCharacter"/>
              </w:rPr>
              <w:tag w:val="BEC.LegalBar.FileStamp.Version"/>
              <w:id w:val="-368844686"/>
              <w:placeholder>
                <w:docPart w:val="4C05BB71FC4F4BFAB14435DECC536D07"/>
              </w:placeholder>
              <w:dataBinding w:prefixMappings="xmlns:ns='http://schemas.beclegal.com/legalbar/filestamp'" w:xpath="ns:filestamp/ns:Version" w:storeItemID="{65E9840E-D101-422F-8EF0-41B1590B74DC}"/>
              <w:text/>
            </w:sdtPr>
            <w:sdtEndPr>
              <w:rPr>
                <w:rStyle w:val="FileStampCharacter"/>
              </w:rPr>
            </w:sdtEndPr>
            <w:sdtContent>
              <w:r w:rsidR="00384FFE">
                <w:rPr>
                  <w:rStyle w:val="FileStampCharacter"/>
                </w:rPr>
                <w:t>1</w:t>
              </w:r>
            </w:sdtContent>
          </w:sdt>
        </w:p>
      </w:sdtContent>
    </w:sdt>
    <w:sectPr w:rsidR="00384FFE" w:rsidRPr="00960F09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E3B" w:rsidRDefault="00300E3B">
      <w:r>
        <w:separator/>
      </w:r>
    </w:p>
  </w:endnote>
  <w:endnote w:type="continuationSeparator" w:id="0">
    <w:p w:rsidR="00300E3B" w:rsidRDefault="00300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MS Reference Sans Serif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auto"/>
    <w:pitch w:val="variable"/>
    <w:sig w:usb0="2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5" w:rsidRPr="00300E3B" w:rsidRDefault="00213345" w:rsidP="00C63845">
    <w:pPr>
      <w:pStyle w:val="Footer"/>
      <w:jc w:val="center"/>
      <w:rPr>
        <w:rFonts w:ascii="Cambria" w:hAnsi="Cambria" w:cs="Calibri"/>
        <w:color w:val="3B6E8F"/>
        <w:sz w:val="16"/>
        <w:szCs w:val="16"/>
      </w:rPr>
    </w:pPr>
    <w:r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2875" cy="790575"/>
          <wp:effectExtent l="0" t="0" r="9525" b="952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 Release Footer - Ne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3845" w:rsidRDefault="00C63845" w:rsidP="00C63845">
    <w:pPr>
      <w:rPr>
        <w:rFonts w:ascii="Arial" w:hAnsi="Arial" w:cs="Arial"/>
      </w:rPr>
    </w:pPr>
  </w:p>
  <w:p w:rsidR="00C63845" w:rsidRDefault="00C63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E3B" w:rsidRDefault="00300E3B">
      <w:r>
        <w:separator/>
      </w:r>
    </w:p>
  </w:footnote>
  <w:footnote w:type="continuationSeparator" w:id="0">
    <w:p w:rsidR="00300E3B" w:rsidRDefault="00300E3B">
      <w:r>
        <w:separator/>
      </w:r>
    </w:p>
    <w:p w:rsidR="00300E3B" w:rsidRDefault="00300E3B">
      <w:r>
        <w:t>(…continued)</w:t>
      </w:r>
    </w:p>
    <w:p w:rsidR="00300E3B" w:rsidRDefault="00300E3B"/>
  </w:footnote>
  <w:footnote w:type="continuationNotice" w:id="1">
    <w:p w:rsidR="00300E3B" w:rsidRDefault="00300E3B">
      <w:pPr>
        <w:jc w:val="right"/>
      </w:pPr>
      <w:r>
        <w:t>(continued…)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FE" w:rsidRDefault="00124C22">
    <w:pPr>
      <w:pStyle w:val="Header"/>
    </w:pPr>
    <w:r>
      <w:rPr>
        <w:noProof/>
        <w:szCs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-285750</wp:posOffset>
          </wp:positionV>
          <wp:extent cx="7762875" cy="723900"/>
          <wp:effectExtent l="0" t="0" r="952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49CF8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7A5A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3AD9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78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58DD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4ED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56E2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D4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AAA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603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70856"/>
    <w:multiLevelType w:val="multilevel"/>
    <w:tmpl w:val="04090023"/>
    <w:numStyleLink w:val="ArticleSection"/>
  </w:abstractNum>
  <w:abstractNum w:abstractNumId="11" w15:restartNumberingAfterBreak="0">
    <w:nsid w:val="223B6F22"/>
    <w:multiLevelType w:val="multilevel"/>
    <w:tmpl w:val="0409001F"/>
    <w:numStyleLink w:val="111111"/>
  </w:abstractNum>
  <w:abstractNum w:abstractNumId="12" w15:restartNumberingAfterBreak="0">
    <w:nsid w:val="25DE00B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6E719C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397091"/>
    <w:multiLevelType w:val="multilevel"/>
    <w:tmpl w:val="7A00BDF2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  <w:b w:val="0"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160"/>
        </w:tabs>
        <w:ind w:left="0" w:firstLine="1440"/>
      </w:pPr>
      <w:rPr>
        <w:rFonts w:hint="default"/>
        <w:b w:val="0"/>
        <w:u w:val="none"/>
      </w:rPr>
    </w:lvl>
    <w:lvl w:ilvl="2">
      <w:start w:val="1"/>
      <w:numFmt w:val="decimal"/>
      <w:pStyle w:val="Heading3"/>
      <w:lvlText w:val="[%3]"/>
      <w:lvlJc w:val="left"/>
      <w:pPr>
        <w:tabs>
          <w:tab w:val="num" w:pos="2880"/>
        </w:tabs>
        <w:ind w:left="720" w:firstLine="1440"/>
      </w:pPr>
      <w:rPr>
        <w:rFonts w:hint="default"/>
        <w:b w:val="0"/>
        <w:u w:val="none"/>
      </w:rPr>
    </w:lvl>
    <w:lvl w:ilvl="3">
      <w:start w:val="1"/>
      <w:numFmt w:val="lowerLetter"/>
      <w:pStyle w:val="Heading4"/>
      <w:lvlText w:val="[%4]"/>
      <w:lvlJc w:val="left"/>
      <w:pPr>
        <w:tabs>
          <w:tab w:val="num" w:pos="3600"/>
        </w:tabs>
        <w:ind w:left="1440" w:firstLine="1440"/>
      </w:pPr>
      <w:rPr>
        <w:rFonts w:hint="default"/>
        <w:b w:val="0"/>
        <w:u w:val="none"/>
      </w:rPr>
    </w:lvl>
    <w:lvl w:ilvl="4">
      <w:start w:val="1"/>
      <w:numFmt w:val="lowerRoman"/>
      <w:pStyle w:val="Heading5"/>
      <w:lvlText w:val="[%5]"/>
      <w:lvlJc w:val="right"/>
      <w:pPr>
        <w:tabs>
          <w:tab w:val="num" w:pos="4320"/>
        </w:tabs>
        <w:ind w:left="2160" w:firstLine="1440"/>
      </w:pPr>
      <w:rPr>
        <w:rFonts w:hint="default"/>
        <w:b w:val="0"/>
        <w:u w:val="none"/>
      </w:rPr>
    </w:lvl>
    <w:lvl w:ilvl="5">
      <w:start w:val="1"/>
      <w:numFmt w:val="upperLetter"/>
      <w:pStyle w:val="Heading6"/>
      <w:lvlText w:val="[%6]"/>
      <w:lvlJc w:val="left"/>
      <w:pPr>
        <w:tabs>
          <w:tab w:val="num" w:pos="5040"/>
        </w:tabs>
        <w:ind w:left="2880" w:firstLine="1440"/>
      </w:pPr>
      <w:rPr>
        <w:rFonts w:hint="default"/>
        <w:b w:val="0"/>
        <w:u w:val="none"/>
      </w:rPr>
    </w:lvl>
    <w:lvl w:ilvl="6">
      <w:start w:val="1"/>
      <w:numFmt w:val="upperRoman"/>
      <w:pStyle w:val="Heading7"/>
      <w:lvlText w:val="[%7]"/>
      <w:lvlJc w:val="left"/>
      <w:pPr>
        <w:tabs>
          <w:tab w:val="num" w:pos="5760"/>
        </w:tabs>
        <w:ind w:left="3600" w:firstLine="1440"/>
      </w:pPr>
      <w:rPr>
        <w:rFonts w:hint="default"/>
        <w:b w:val="0"/>
        <w:u w:val="none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4320" w:firstLine="1440"/>
      </w:pPr>
      <w:rPr>
        <w:rFonts w:hint="default"/>
        <w:b w:val="0"/>
        <w:u w:val="none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5040" w:firstLine="1440"/>
      </w:pPr>
      <w:rPr>
        <w:rFonts w:hint="default"/>
        <w:b w:val="0"/>
        <w:u w:val="none"/>
      </w:rPr>
    </w:lvl>
  </w:abstractNum>
  <w:abstractNum w:abstractNumId="15" w15:restartNumberingAfterBreak="0">
    <w:nsid w:val="2EF94DC2"/>
    <w:multiLevelType w:val="hybridMultilevel"/>
    <w:tmpl w:val="9F982E1C"/>
    <w:lvl w:ilvl="0" w:tplc="3794BB0C">
      <w:start w:val="1"/>
      <w:numFmt w:val="bullet"/>
      <w:lvlText w:val=""/>
      <w:lvlJc w:val="left"/>
      <w:pPr>
        <w:tabs>
          <w:tab w:val="num" w:pos="72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139C9"/>
    <w:multiLevelType w:val="singleLevel"/>
    <w:tmpl w:val="AC50F95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7D60249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2"/>
  </w:num>
  <w:num w:numId="5">
    <w:abstractNumId w:val="16"/>
  </w:num>
  <w:num w:numId="6">
    <w:abstractNumId w:val="15"/>
  </w:num>
  <w:num w:numId="7">
    <w:abstractNumId w:val="15"/>
  </w:num>
  <w:num w:numId="8">
    <w:abstractNumId w:val="16"/>
  </w:num>
  <w:num w:numId="9">
    <w:abstractNumId w:val="14"/>
  </w:num>
  <w:num w:numId="10">
    <w:abstractNumId w:val="14"/>
  </w:num>
  <w:num w:numId="11">
    <w:abstractNumId w:val="13"/>
  </w:num>
  <w:num w:numId="12">
    <w:abstractNumId w:val="11"/>
  </w:num>
  <w:num w:numId="13">
    <w:abstractNumId w:val="17"/>
  </w:num>
  <w:num w:numId="14">
    <w:abstractNumId w:val="10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US" w:vendorID="64" w:dllVersion="131078" w:nlCheck="1" w:checkStyle="1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3B"/>
    <w:rsid w:val="0010383A"/>
    <w:rsid w:val="00107A74"/>
    <w:rsid w:val="00124C22"/>
    <w:rsid w:val="001360FE"/>
    <w:rsid w:val="00171F8E"/>
    <w:rsid w:val="00180698"/>
    <w:rsid w:val="00213345"/>
    <w:rsid w:val="00292CA6"/>
    <w:rsid w:val="002B6962"/>
    <w:rsid w:val="00300E3B"/>
    <w:rsid w:val="0031084D"/>
    <w:rsid w:val="00384FFE"/>
    <w:rsid w:val="004478DC"/>
    <w:rsid w:val="004768CB"/>
    <w:rsid w:val="004967E4"/>
    <w:rsid w:val="00512AC7"/>
    <w:rsid w:val="00516EA7"/>
    <w:rsid w:val="005D61A3"/>
    <w:rsid w:val="005F36EA"/>
    <w:rsid w:val="00615176"/>
    <w:rsid w:val="00670146"/>
    <w:rsid w:val="006B3973"/>
    <w:rsid w:val="006D4A45"/>
    <w:rsid w:val="006E3FF6"/>
    <w:rsid w:val="00704E35"/>
    <w:rsid w:val="00801988"/>
    <w:rsid w:val="008609C8"/>
    <w:rsid w:val="00884BF5"/>
    <w:rsid w:val="008B4415"/>
    <w:rsid w:val="008F05ED"/>
    <w:rsid w:val="008F49DC"/>
    <w:rsid w:val="00922533"/>
    <w:rsid w:val="00960F09"/>
    <w:rsid w:val="009666D2"/>
    <w:rsid w:val="009C645C"/>
    <w:rsid w:val="00A81F56"/>
    <w:rsid w:val="00AA421F"/>
    <w:rsid w:val="00B04238"/>
    <w:rsid w:val="00B36060"/>
    <w:rsid w:val="00BC50DC"/>
    <w:rsid w:val="00C63845"/>
    <w:rsid w:val="00C6707C"/>
    <w:rsid w:val="00C8345E"/>
    <w:rsid w:val="00CD1CD2"/>
    <w:rsid w:val="00CD7251"/>
    <w:rsid w:val="00D529DF"/>
    <w:rsid w:val="00D57C8A"/>
    <w:rsid w:val="00D61115"/>
    <w:rsid w:val="00D66D3D"/>
    <w:rsid w:val="00E01235"/>
    <w:rsid w:val="00E347D9"/>
    <w:rsid w:val="00EC0F55"/>
    <w:rsid w:val="00EC1BAD"/>
    <w:rsid w:val="00ED2502"/>
    <w:rsid w:val="00F9783A"/>
    <w:rsid w:val="00FC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4E2C0A7D"/>
  <w15:docId w15:val="{9CFAC70E-93F7-45B8-B1CC-C8B61B4A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qFormat/>
    <w:pPr>
      <w:keepNext/>
      <w:numPr>
        <w:numId w:val="10"/>
      </w:numPr>
      <w:spacing w:after="240"/>
      <w:outlineLvl w:val="0"/>
    </w:pPr>
    <w:rPr>
      <w:bCs/>
      <w:snapToGrid w:val="0"/>
    </w:rPr>
  </w:style>
  <w:style w:type="paragraph" w:styleId="Heading2">
    <w:name w:val="heading 2"/>
    <w:basedOn w:val="Normal"/>
    <w:qFormat/>
    <w:pPr>
      <w:keepNext/>
      <w:numPr>
        <w:ilvl w:val="1"/>
        <w:numId w:val="10"/>
      </w:numPr>
      <w:spacing w:after="240"/>
      <w:outlineLvl w:val="1"/>
    </w:pPr>
    <w:rPr>
      <w:bCs/>
      <w:snapToGrid w:val="0"/>
    </w:rPr>
  </w:style>
  <w:style w:type="paragraph" w:styleId="Heading3">
    <w:name w:val="heading 3"/>
    <w:basedOn w:val="Normal"/>
    <w:qFormat/>
    <w:pPr>
      <w:keepNext/>
      <w:numPr>
        <w:ilvl w:val="2"/>
        <w:numId w:val="10"/>
      </w:numPr>
      <w:spacing w:after="240"/>
      <w:outlineLvl w:val="2"/>
    </w:pPr>
    <w:rPr>
      <w:bCs/>
      <w:snapToGrid w:val="0"/>
    </w:rPr>
  </w:style>
  <w:style w:type="paragraph" w:styleId="Heading4">
    <w:name w:val="heading 4"/>
    <w:basedOn w:val="Normal"/>
    <w:qFormat/>
    <w:pPr>
      <w:keepNext/>
      <w:numPr>
        <w:ilvl w:val="3"/>
        <w:numId w:val="10"/>
      </w:numPr>
      <w:spacing w:after="240"/>
      <w:outlineLvl w:val="3"/>
    </w:pPr>
    <w:rPr>
      <w:bCs/>
      <w:snapToGrid w:val="0"/>
    </w:rPr>
  </w:style>
  <w:style w:type="paragraph" w:styleId="Heading5">
    <w:name w:val="heading 5"/>
    <w:basedOn w:val="Normal"/>
    <w:qFormat/>
    <w:pPr>
      <w:numPr>
        <w:ilvl w:val="4"/>
        <w:numId w:val="10"/>
      </w:numPr>
      <w:spacing w:after="240"/>
      <w:outlineLvl w:val="4"/>
    </w:pPr>
    <w:rPr>
      <w:bCs/>
      <w:snapToGrid w:val="0"/>
    </w:rPr>
  </w:style>
  <w:style w:type="paragraph" w:styleId="Heading6">
    <w:name w:val="heading 6"/>
    <w:basedOn w:val="Normal"/>
    <w:qFormat/>
    <w:pPr>
      <w:numPr>
        <w:ilvl w:val="5"/>
        <w:numId w:val="10"/>
      </w:numPr>
      <w:spacing w:after="240"/>
      <w:outlineLvl w:val="5"/>
    </w:pPr>
    <w:rPr>
      <w:bCs/>
      <w:snapToGrid w:val="0"/>
    </w:rPr>
  </w:style>
  <w:style w:type="paragraph" w:styleId="Heading7">
    <w:name w:val="heading 7"/>
    <w:basedOn w:val="Normal"/>
    <w:qFormat/>
    <w:pPr>
      <w:numPr>
        <w:ilvl w:val="6"/>
        <w:numId w:val="10"/>
      </w:numPr>
      <w:spacing w:after="240"/>
      <w:outlineLvl w:val="6"/>
    </w:pPr>
    <w:rPr>
      <w:bCs/>
      <w:snapToGrid w:val="0"/>
    </w:rPr>
  </w:style>
  <w:style w:type="paragraph" w:styleId="Heading8">
    <w:name w:val="heading 8"/>
    <w:basedOn w:val="Normal"/>
    <w:qFormat/>
    <w:pPr>
      <w:numPr>
        <w:ilvl w:val="7"/>
        <w:numId w:val="10"/>
      </w:numPr>
      <w:spacing w:after="240"/>
      <w:outlineLvl w:val="7"/>
    </w:pPr>
    <w:rPr>
      <w:bCs/>
      <w:snapToGrid w:val="0"/>
    </w:rPr>
  </w:style>
  <w:style w:type="paragraph" w:styleId="Heading9">
    <w:name w:val="heading 9"/>
    <w:basedOn w:val="Normal"/>
    <w:qFormat/>
    <w:pPr>
      <w:numPr>
        <w:ilvl w:val="8"/>
        <w:numId w:val="10"/>
      </w:numPr>
      <w:spacing w:after="240"/>
      <w:outlineLvl w:val="8"/>
    </w:pPr>
    <w:rPr>
      <w:bCs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ingle1">
    <w:name w:val="*Body Single 1"/>
    <w:aliases w:val="BS1"/>
    <w:basedOn w:val="Normal"/>
    <w:pPr>
      <w:spacing w:after="240"/>
      <w:ind w:firstLine="1440"/>
    </w:pPr>
  </w:style>
  <w:style w:type="paragraph" w:customStyle="1" w:styleId="BodySingle5">
    <w:name w:val="*Body Single 5"/>
    <w:aliases w:val="BS5"/>
    <w:basedOn w:val="Normal"/>
    <w:pPr>
      <w:spacing w:after="240"/>
      <w:ind w:firstLine="720"/>
    </w:pPr>
  </w:style>
  <w:style w:type="paragraph" w:customStyle="1" w:styleId="QuoteSingle5">
    <w:name w:val="*Quote Single 5"/>
    <w:aliases w:val="QS5"/>
    <w:basedOn w:val="Normal"/>
    <w:pPr>
      <w:spacing w:after="240"/>
      <w:ind w:left="720" w:right="720"/>
    </w:pPr>
    <w:rPr>
      <w:bCs/>
    </w:rPr>
  </w:style>
  <w:style w:type="paragraph" w:customStyle="1" w:styleId="TitleBC">
    <w:name w:val="*Title BC"/>
    <w:aliases w:val="TBC"/>
    <w:basedOn w:val="Normal"/>
    <w:pPr>
      <w:keepNext/>
      <w:spacing w:after="240"/>
      <w:jc w:val="center"/>
    </w:pPr>
    <w:rPr>
      <w:b/>
    </w:rPr>
  </w:style>
  <w:style w:type="paragraph" w:customStyle="1" w:styleId="TitleBCU">
    <w:name w:val="*Title BCU"/>
    <w:aliases w:val="TBCU"/>
    <w:basedOn w:val="Normal"/>
    <w:pPr>
      <w:keepNext/>
      <w:spacing w:after="240"/>
      <w:jc w:val="center"/>
    </w:pPr>
    <w:rPr>
      <w:b/>
      <w:u w:val="singl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jc w:val="left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jc w:val="left"/>
    </w:pPr>
  </w:style>
  <w:style w:type="paragraph" w:styleId="FootnoteText">
    <w:name w:val="footnote text"/>
    <w:basedOn w:val="Normal"/>
    <w:semiHidden/>
    <w:pPr>
      <w:spacing w:after="240"/>
    </w:pPr>
  </w:style>
  <w:style w:type="paragraph" w:customStyle="1" w:styleId="BodyDbl1">
    <w:name w:val="*Body Dbl 1"/>
    <w:aliases w:val="BD1"/>
    <w:basedOn w:val="Normal"/>
    <w:pPr>
      <w:spacing w:line="480" w:lineRule="auto"/>
      <w:ind w:firstLine="1440"/>
    </w:pPr>
  </w:style>
  <w:style w:type="paragraph" w:customStyle="1" w:styleId="BodyDbl5">
    <w:name w:val="*Body Dbl 5"/>
    <w:aliases w:val="BD5"/>
    <w:basedOn w:val="Normal"/>
    <w:pPr>
      <w:spacing w:line="480" w:lineRule="auto"/>
      <w:ind w:firstLine="720"/>
    </w:pPr>
  </w:style>
  <w:style w:type="paragraph" w:customStyle="1" w:styleId="BodyDblIndent1">
    <w:name w:val="*Body Dbl Indent 1"/>
    <w:aliases w:val="BDI1"/>
    <w:basedOn w:val="Normal"/>
    <w:pPr>
      <w:spacing w:line="480" w:lineRule="auto"/>
      <w:ind w:left="1440"/>
    </w:pPr>
    <w:rPr>
      <w:bCs/>
    </w:rPr>
  </w:style>
  <w:style w:type="paragraph" w:customStyle="1" w:styleId="BodyDblIndent5">
    <w:name w:val="*Body Dbl Indent 5"/>
    <w:aliases w:val="BDI5"/>
    <w:basedOn w:val="Normal"/>
    <w:pPr>
      <w:spacing w:line="480" w:lineRule="auto"/>
      <w:ind w:left="720"/>
    </w:pPr>
    <w:rPr>
      <w:bCs/>
    </w:rPr>
  </w:style>
  <w:style w:type="character" w:customStyle="1" w:styleId="LBFileStampAtCursor">
    <w:name w:val="LBFileStampAtCursor"/>
    <w:rPr>
      <w:rFonts w:ascii="Times New Roman" w:hAnsi="Times New Roman" w:cs="Times New Roman"/>
      <w:b/>
      <w:sz w:val="16"/>
      <w:szCs w:val="32"/>
    </w:rPr>
  </w:style>
  <w:style w:type="paragraph" w:customStyle="1" w:styleId="BodyDbl">
    <w:name w:val="*Body Dbl"/>
    <w:aliases w:val="BD"/>
    <w:basedOn w:val="Normal"/>
    <w:pPr>
      <w:spacing w:line="480" w:lineRule="auto"/>
    </w:pPr>
  </w:style>
  <w:style w:type="paragraph" w:customStyle="1" w:styleId="LBFileStampAtEnd">
    <w:name w:val="LBFileStampAtEnd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360"/>
    </w:pPr>
    <w:rPr>
      <w:b/>
      <w:bCs/>
      <w:sz w:val="16"/>
      <w:szCs w:val="32"/>
    </w:rPr>
  </w:style>
  <w:style w:type="paragraph" w:customStyle="1" w:styleId="BodySingleIndent1">
    <w:name w:val="*Body Single Indent 1"/>
    <w:aliases w:val="BSI1"/>
    <w:basedOn w:val="Normal"/>
    <w:pPr>
      <w:spacing w:after="240"/>
      <w:ind w:left="1440"/>
    </w:pPr>
    <w:rPr>
      <w:bCs/>
    </w:rPr>
  </w:style>
  <w:style w:type="paragraph" w:customStyle="1" w:styleId="BodySingleIndent5">
    <w:name w:val="*Body Single Indent 5"/>
    <w:aliases w:val="BSI5"/>
    <w:basedOn w:val="Normal"/>
    <w:pPr>
      <w:spacing w:after="240"/>
      <w:ind w:left="720"/>
    </w:pPr>
    <w:rPr>
      <w:bCs/>
    </w:rPr>
  </w:style>
  <w:style w:type="paragraph" w:customStyle="1" w:styleId="BodySingle">
    <w:name w:val="*Body Single"/>
    <w:aliases w:val="BS"/>
    <w:basedOn w:val="Normal"/>
    <w:pPr>
      <w:spacing w:after="240"/>
    </w:pPr>
  </w:style>
  <w:style w:type="paragraph" w:customStyle="1" w:styleId="FlushRightDotLeader">
    <w:name w:val="*Flush Right Dot Leader"/>
    <w:aliases w:val="FRD"/>
    <w:basedOn w:val="Normal"/>
    <w:pPr>
      <w:tabs>
        <w:tab w:val="right" w:leader="dot" w:pos="9360"/>
      </w:tabs>
      <w:spacing w:after="240"/>
      <w:contextualSpacing/>
    </w:pPr>
    <w:rPr>
      <w:szCs w:val="20"/>
    </w:rPr>
  </w:style>
  <w:style w:type="paragraph" w:customStyle="1" w:styleId="FlushRight">
    <w:name w:val="*Flush Right"/>
    <w:aliases w:val="FR"/>
    <w:basedOn w:val="Normal"/>
    <w:pPr>
      <w:tabs>
        <w:tab w:val="right" w:pos="9360"/>
      </w:tabs>
      <w:spacing w:after="240"/>
      <w:contextualSpacing/>
    </w:pPr>
  </w:style>
  <w:style w:type="paragraph" w:customStyle="1" w:styleId="QuoteDbl1">
    <w:name w:val="*Quote Dbl 1"/>
    <w:aliases w:val="QD1"/>
    <w:basedOn w:val="Normal"/>
    <w:pPr>
      <w:spacing w:line="480" w:lineRule="auto"/>
      <w:ind w:left="1440" w:right="1440"/>
    </w:pPr>
    <w:rPr>
      <w:bCs/>
      <w:szCs w:val="20"/>
    </w:rPr>
  </w:style>
  <w:style w:type="paragraph" w:customStyle="1" w:styleId="QuoteDbl15">
    <w:name w:val="*Quote Dbl 15"/>
    <w:aliases w:val="QD15"/>
    <w:basedOn w:val="Normal"/>
    <w:pPr>
      <w:spacing w:line="480" w:lineRule="auto"/>
      <w:ind w:left="1440" w:right="1440" w:firstLine="720"/>
    </w:pPr>
    <w:rPr>
      <w:bCs/>
      <w:szCs w:val="20"/>
    </w:rPr>
  </w:style>
  <w:style w:type="paragraph" w:customStyle="1" w:styleId="QuoteDbl5">
    <w:name w:val="*Quote Dbl 5"/>
    <w:aliases w:val="QD5"/>
    <w:basedOn w:val="Normal"/>
    <w:pPr>
      <w:spacing w:line="480" w:lineRule="auto"/>
      <w:ind w:left="720" w:right="720"/>
    </w:pPr>
    <w:rPr>
      <w:bCs/>
      <w:szCs w:val="20"/>
    </w:rPr>
  </w:style>
  <w:style w:type="paragraph" w:customStyle="1" w:styleId="QuoteDbl55">
    <w:name w:val="*Quote Dbl 55"/>
    <w:aliases w:val="QD55"/>
    <w:basedOn w:val="Normal"/>
    <w:pPr>
      <w:spacing w:line="480" w:lineRule="auto"/>
      <w:ind w:left="720" w:right="720" w:firstLine="720"/>
    </w:pPr>
    <w:rPr>
      <w:bCs/>
      <w:szCs w:val="20"/>
    </w:rPr>
  </w:style>
  <w:style w:type="paragraph" w:customStyle="1" w:styleId="QuoteSingle1">
    <w:name w:val="*Quote Single 1"/>
    <w:aliases w:val="QS1"/>
    <w:basedOn w:val="Normal"/>
    <w:pPr>
      <w:spacing w:after="240"/>
      <w:ind w:left="1440" w:right="1440"/>
    </w:pPr>
    <w:rPr>
      <w:bCs/>
    </w:rPr>
  </w:style>
  <w:style w:type="paragraph" w:customStyle="1" w:styleId="QuoteSingle15">
    <w:name w:val="*Quote Single 15"/>
    <w:aliases w:val="QS15"/>
    <w:basedOn w:val="Normal"/>
    <w:pPr>
      <w:spacing w:after="240"/>
      <w:ind w:left="1440" w:right="1440" w:firstLine="720"/>
    </w:pPr>
    <w:rPr>
      <w:bCs/>
      <w:szCs w:val="20"/>
    </w:rPr>
  </w:style>
  <w:style w:type="paragraph" w:customStyle="1" w:styleId="QuoteSingle55">
    <w:name w:val="*Quote Single 55"/>
    <w:aliases w:val="QS55"/>
    <w:basedOn w:val="Normal"/>
    <w:pPr>
      <w:spacing w:after="240"/>
      <w:ind w:left="720" w:right="720" w:firstLine="720"/>
    </w:pPr>
    <w:rPr>
      <w:bCs/>
    </w:rPr>
  </w:style>
  <w:style w:type="paragraph" w:customStyle="1" w:styleId="TitleB1">
    <w:name w:val="*Title B1"/>
    <w:aliases w:val="TB1"/>
    <w:basedOn w:val="Normal"/>
    <w:pPr>
      <w:keepNext/>
      <w:spacing w:after="240"/>
      <w:ind w:left="1440"/>
    </w:pPr>
    <w:rPr>
      <w:b/>
    </w:rPr>
  </w:style>
  <w:style w:type="paragraph" w:customStyle="1" w:styleId="TitleB5">
    <w:name w:val="*Title B5"/>
    <w:aliases w:val="TB5"/>
    <w:basedOn w:val="Normal"/>
    <w:pPr>
      <w:keepNext/>
      <w:spacing w:after="240"/>
      <w:ind w:left="720"/>
    </w:pPr>
    <w:rPr>
      <w:b/>
    </w:rPr>
  </w:style>
  <w:style w:type="paragraph" w:customStyle="1" w:styleId="TitleBL">
    <w:name w:val="*Title BL"/>
    <w:aliases w:val="TBL"/>
    <w:basedOn w:val="Normal"/>
    <w:pPr>
      <w:keepNext/>
      <w:spacing w:after="240"/>
    </w:pPr>
    <w:rPr>
      <w:b/>
    </w:rPr>
  </w:style>
  <w:style w:type="paragraph" w:customStyle="1" w:styleId="TitleBLU">
    <w:name w:val="*Title BLU"/>
    <w:aliases w:val="TBLU"/>
    <w:basedOn w:val="Normal"/>
    <w:pPr>
      <w:keepNext/>
      <w:spacing w:after="240"/>
    </w:pPr>
    <w:rPr>
      <w:b/>
      <w:u w:val="single"/>
    </w:rPr>
  </w:style>
  <w:style w:type="paragraph" w:customStyle="1" w:styleId="TitleBU1">
    <w:name w:val="*Title BU1"/>
    <w:aliases w:val="TBU1"/>
    <w:basedOn w:val="Normal"/>
    <w:pPr>
      <w:keepNext/>
      <w:spacing w:after="240"/>
      <w:ind w:left="1440"/>
    </w:pPr>
    <w:rPr>
      <w:b/>
      <w:u w:val="single"/>
    </w:rPr>
  </w:style>
  <w:style w:type="paragraph" w:customStyle="1" w:styleId="TitleBU5">
    <w:name w:val="*Title BU5"/>
    <w:aliases w:val="TBU5"/>
    <w:basedOn w:val="Normal"/>
    <w:pPr>
      <w:keepNext/>
      <w:spacing w:after="240"/>
      <w:ind w:left="720"/>
    </w:pPr>
    <w:rPr>
      <w:b/>
      <w:u w:val="single"/>
    </w:rPr>
  </w:style>
  <w:style w:type="paragraph" w:customStyle="1" w:styleId="TitleC">
    <w:name w:val="*Title C"/>
    <w:aliases w:val="TC"/>
    <w:basedOn w:val="Normal"/>
    <w:pPr>
      <w:keepNext/>
      <w:spacing w:after="240"/>
      <w:jc w:val="center"/>
    </w:pPr>
  </w:style>
  <w:style w:type="paragraph" w:customStyle="1" w:styleId="TitleCU">
    <w:name w:val="*Title CU"/>
    <w:aliases w:val="TCU"/>
    <w:basedOn w:val="Normal"/>
    <w:pPr>
      <w:keepNext/>
      <w:spacing w:after="240"/>
      <w:jc w:val="center"/>
    </w:pPr>
    <w:rPr>
      <w:u w:val="single"/>
    </w:rPr>
  </w:style>
  <w:style w:type="paragraph" w:customStyle="1" w:styleId="TitleL">
    <w:name w:val="*Title L"/>
    <w:aliases w:val="TL"/>
    <w:basedOn w:val="Normal"/>
    <w:pPr>
      <w:keepNext/>
      <w:spacing w:after="240"/>
    </w:pPr>
  </w:style>
  <w:style w:type="paragraph" w:customStyle="1" w:styleId="TitleLU">
    <w:name w:val="*Title LU"/>
    <w:aliases w:val="TLU"/>
    <w:basedOn w:val="Normal"/>
    <w:pPr>
      <w:keepNext/>
      <w:spacing w:after="240"/>
    </w:pPr>
    <w:rPr>
      <w:u w:val="single"/>
    </w:rPr>
  </w:style>
  <w:style w:type="paragraph" w:customStyle="1" w:styleId="TitleU1">
    <w:name w:val="*Title U1"/>
    <w:aliases w:val="TU1"/>
    <w:basedOn w:val="Normal"/>
    <w:pPr>
      <w:keepNext/>
      <w:spacing w:after="240"/>
      <w:ind w:left="1440"/>
    </w:pPr>
    <w:rPr>
      <w:u w:val="single"/>
    </w:rPr>
  </w:style>
  <w:style w:type="paragraph" w:customStyle="1" w:styleId="TitleU5">
    <w:name w:val="*Title U5"/>
    <w:aliases w:val="TU5"/>
    <w:basedOn w:val="Normal"/>
    <w:pPr>
      <w:keepNext/>
      <w:spacing w:after="240"/>
      <w:ind w:left="720"/>
    </w:pPr>
    <w:rPr>
      <w:u w:val="single"/>
    </w:rPr>
  </w:style>
  <w:style w:type="paragraph" w:customStyle="1" w:styleId="ShortLines5">
    <w:name w:val="*Short Lines .5"/>
    <w:aliases w:val="SL5"/>
    <w:basedOn w:val="Normal"/>
    <w:pPr>
      <w:spacing w:after="240"/>
      <w:ind w:left="720"/>
      <w:contextualSpacing/>
      <w:jc w:val="left"/>
    </w:pPr>
  </w:style>
  <w:style w:type="paragraph" w:customStyle="1" w:styleId="ShortLines1">
    <w:name w:val="*Short Lines 1"/>
    <w:aliases w:val="SL1"/>
    <w:basedOn w:val="Normal"/>
    <w:pPr>
      <w:spacing w:after="240"/>
      <w:ind w:left="1440"/>
      <w:contextualSpacing/>
      <w:jc w:val="left"/>
    </w:pPr>
  </w:style>
  <w:style w:type="paragraph" w:customStyle="1" w:styleId="ShortLines">
    <w:name w:val="*Short Lines"/>
    <w:aliases w:val="SL"/>
    <w:basedOn w:val="Normal"/>
    <w:pPr>
      <w:spacing w:after="240"/>
      <w:contextualSpacing/>
      <w:jc w:val="left"/>
    </w:pPr>
  </w:style>
  <w:style w:type="paragraph" w:styleId="Signature">
    <w:name w:val="Signature"/>
    <w:basedOn w:val="Normal"/>
    <w:pPr>
      <w:keepNext/>
      <w:spacing w:after="240"/>
      <w:ind w:left="4320"/>
      <w:contextualSpacing/>
      <w:jc w:val="left"/>
    </w:pPr>
  </w:style>
  <w:style w:type="paragraph" w:customStyle="1" w:styleId="Break">
    <w:name w:val="*Break"/>
    <w:aliases w:val="BRK"/>
    <w:basedOn w:val="Normal"/>
    <w:pPr>
      <w:widowControl w:val="0"/>
      <w:jc w:val="left"/>
    </w:pPr>
  </w:style>
  <w:style w:type="paragraph" w:customStyle="1" w:styleId="TagLineFooter">
    <w:name w:val="*TagLine Footer"/>
    <w:aliases w:val="TGF"/>
    <w:basedOn w:val="Break"/>
    <w:rPr>
      <w:sz w:val="16"/>
    </w:rPr>
  </w:style>
  <w:style w:type="paragraph" w:customStyle="1" w:styleId="TagLine">
    <w:name w:val="*TagLine"/>
    <w:aliases w:val="TGL"/>
    <w:basedOn w:val="Normal"/>
    <w:pPr>
      <w:spacing w:before="360"/>
      <w:jc w:val="left"/>
    </w:pPr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semiHidden/>
    <w:rPr>
      <w:vertAlign w:val="superscript"/>
    </w:rPr>
  </w:style>
  <w:style w:type="numbering" w:styleId="111111">
    <w:name w:val="Outline List 2"/>
    <w:basedOn w:val="NoList"/>
    <w:pPr>
      <w:numPr>
        <w:numId w:val="11"/>
      </w:numPr>
    </w:pPr>
  </w:style>
  <w:style w:type="numbering" w:styleId="ArticleSection">
    <w:name w:val="Outline List 3"/>
    <w:basedOn w:val="NoList"/>
    <w:pPr>
      <w:numPr>
        <w:numId w:val="13"/>
      </w:numPr>
    </w:pPr>
  </w:style>
  <w:style w:type="paragraph" w:styleId="BalloonText">
    <w:name w:val="Balloon Text"/>
    <w:basedOn w:val="Normal"/>
    <w:link w:val="BalloonTextChar"/>
    <w:rsid w:val="00476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8CB"/>
    <w:rPr>
      <w:rFonts w:ascii="Tahoma" w:hAnsi="Tahoma" w:cs="Tahoma"/>
      <w:sz w:val="16"/>
      <w:szCs w:val="16"/>
    </w:rPr>
  </w:style>
  <w:style w:type="paragraph" w:customStyle="1" w:styleId="FS">
    <w:name w:val="FS"/>
    <w:aliases w:val="File Stamp"/>
    <w:basedOn w:val="Normal"/>
    <w:rsid w:val="004768CB"/>
    <w:pPr>
      <w:spacing w:before="360"/>
      <w:jc w:val="left"/>
    </w:pPr>
    <w:rPr>
      <w:rFonts w:asciiTheme="minorHAnsi" w:hAnsiTheme="minorHAnsi"/>
      <w:sz w:val="16"/>
    </w:rPr>
  </w:style>
  <w:style w:type="paragraph" w:customStyle="1" w:styleId="FSF">
    <w:name w:val="FSF"/>
    <w:aliases w:val="File Stamp Footer"/>
    <w:basedOn w:val="Normal"/>
    <w:rsid w:val="004768CB"/>
    <w:pPr>
      <w:jc w:val="left"/>
    </w:pPr>
    <w:rPr>
      <w:rFonts w:asciiTheme="minorHAnsi" w:hAnsiTheme="minorHAnsi"/>
      <w:bCs/>
      <w:sz w:val="16"/>
    </w:rPr>
  </w:style>
  <w:style w:type="character" w:styleId="FollowedHyperlink">
    <w:name w:val="FollowedHyperlink"/>
    <w:basedOn w:val="DefaultParagraphFont"/>
    <w:semiHidden/>
    <w:unhideWhenUsed/>
    <w:rsid w:val="00FC0CE6"/>
    <w:rPr>
      <w:color w:val="800080" w:themeColor="followedHyperlink"/>
      <w:u w:val="single"/>
    </w:rPr>
  </w:style>
  <w:style w:type="paragraph" w:customStyle="1" w:styleId="FileStampParagraph">
    <w:name w:val="File Stamp Paragraph"/>
    <w:basedOn w:val="Normal"/>
    <w:link w:val="FileStampParagraphChar"/>
    <w:qFormat/>
    <w:rsid w:val="00384FFE"/>
    <w:pPr>
      <w:spacing w:after="160" w:line="259" w:lineRule="auto"/>
      <w:jc w:val="left"/>
    </w:pPr>
    <w:rPr>
      <w:rFonts w:ascii="Calibri" w:hAnsi="Calibri" w:cstheme="minorBidi"/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384FFE"/>
    <w:rPr>
      <w:rFonts w:ascii="Calibri" w:hAnsi="Calibri" w:cstheme="minorBidi"/>
      <w:sz w:val="16"/>
      <w:szCs w:val="24"/>
    </w:rPr>
  </w:style>
  <w:style w:type="character" w:customStyle="1" w:styleId="FileStampCharacter">
    <w:name w:val="File Stamp Character"/>
    <w:basedOn w:val="DefaultParagraphFont"/>
    <w:uiPriority w:val="1"/>
    <w:qFormat/>
    <w:rsid w:val="00384FFE"/>
    <w:rPr>
      <w:rFonts w:ascii="Calibri" w:hAnsi="Calibri" w:cstheme="minorBidi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</w:rPr>
  </w:style>
  <w:style w:type="character" w:styleId="PlaceholderText">
    <w:name w:val="Placeholder Text"/>
    <w:basedOn w:val="DefaultParagraphFont"/>
    <w:uiPriority w:val="99"/>
    <w:semiHidden/>
    <w:rsid w:val="00384F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drewpayton@wyattfirm.com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wyattfirm.com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dvancelaw.com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D7D115463341A2A7A3B6960CAE1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268B0-A671-4078-B905-AF13D533975A}"/>
      </w:docPartPr>
      <w:docPartBody>
        <w:p w:rsidR="00220CC7" w:rsidRDefault="00220CC7"/>
      </w:docPartBody>
    </w:docPart>
    <w:docPart>
      <w:docPartPr>
        <w:name w:val="1E70008C601C48599A9456FA5CBA6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69D0A-6A89-4BDF-B2F8-68180888558C}"/>
      </w:docPartPr>
      <w:docPartBody>
        <w:p w:rsidR="00220CC7" w:rsidRDefault="00220CC7"/>
      </w:docPartBody>
    </w:docPart>
    <w:docPart>
      <w:docPartPr>
        <w:name w:val="2EFC204381FB4755990344FA3918E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1DB5-E37D-40AE-9461-F8B62B3DEF44}"/>
      </w:docPartPr>
      <w:docPartBody>
        <w:p w:rsidR="00220CC7" w:rsidRDefault="00220CC7"/>
      </w:docPartBody>
    </w:docPart>
    <w:docPart>
      <w:docPartPr>
        <w:name w:val="4C05BB71FC4F4BFAB14435DECC536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1B646-42CB-4E18-8F69-38311CB6C844}"/>
      </w:docPartPr>
      <w:docPartBody>
        <w:p w:rsidR="00220CC7" w:rsidRDefault="00220CC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MS Reference Sans Serif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auto"/>
    <w:pitch w:val="variable"/>
    <w:sig w:usb0="2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AE"/>
    <w:rsid w:val="00220CC7"/>
    <w:rsid w:val="0083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37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3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filestamp xmlns="http://schemas.beclegal.com/legalbar/filestamp">
  <CurrentDate>8/18/2022</CurrentDate>
  <CurrentTime>1:24 PM</CurrentTime>
  <Author>DSCHIFFERDECKER</Author>
  <Typist/>
  <Class>EMAIL_CORRESPONDENCE</Class>
  <SubClass/>
  <FileName/>
  <DescriptiveName>Press Release - Best Lawyers Ones to Watch 2023 Edition</DescriptiveName>
  <DMLibrary>WYATTDATA</DMLibrary>
  <FileStampFormatID>1</FileStampFormatID>
  <Placement>EndOfDocument</Placement>
  <Client>000001</Client>
  <Matter>000003</Matter>
  <DocNumber>100859170</DocNumber>
  <Version>1</Version>
  <IWL>iwl:dms=WYATTFIRM.IMANAGE.WORK&amp;&amp;lib=WYATTDATA&amp;&amp;num=100859170&amp;&amp;ver=1</IWL>
  <DMCustom1>000001</DMCustom1>
  <DMCustom1Description>WYATT, TARRANT &amp; COMBS, LLP</DMCustom1Description>
  <DMCustom2>000003</DMCustom2>
  <DMCustom2Description>MARKETING</DMCustom2Description>
  <DMCustom3/>
  <DMCustom4/>
  <DMCustom5/>
  <DMCustom6/>
  <DMCustom7/>
  <DMCustom8/>
  <DMCustom9/>
  <DMCustom10/>
  <DMCustom11/>
  <DMCustom12/>
  <DMCustom13/>
  <DMCustom14/>
  <DMCustom15/>
  <DMCustom16/>
  <DMCustom17/>
  <DMCustom18/>
  <DMCustom19/>
  <DMCustom20/>
  <DMCustom21/>
  <DMCustom22/>
  <DMCustom23/>
  <DMCustom24/>
  <DMCustom25/>
  <DMCustom26/>
  <DMCustom27/>
  <DMCustom28/>
  <DMCustom29>MARKETING</DMCustom29>
  <DMCustom30/>
  <DMCustom31/>
  <Stamp xmlns="">
    <Format>DocNumber;Text:.;Version;</Format>
    <Value>100859170.1</Value>
  </Stamp>
</filestamp>
</file>

<file path=customXml/itemProps1.xml><?xml version="1.0" encoding="utf-8"?>
<ds:datastoreItem xmlns:ds="http://schemas.openxmlformats.org/officeDocument/2006/customXml" ds:itemID="{A1157640-A07A-4C9D-89E0-140170228EF2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65E9840E-D101-422F-8EF0-41B1590B74DC}">
  <ds:schemaRefs>
    <ds:schemaRef ds:uri="http://schemas.beclegal.com/legalbar/filestamp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1863</Characters>
  <Application>Microsoft Office Word</Application>
  <DocSecurity>4</DocSecurity>
  <Lines>51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TITLE</vt:lpstr>
    </vt:vector>
  </TitlesOfParts>
  <Company>Wyatt, Tarrant &amp; Combs, LLP</Company>
  <LinksUpToDate>false</LinksUpToDate>
  <CharactersWithSpaces>2123</CharactersWithSpaces>
  <SharedDoc>false</SharedDoc>
  <HLinks>
    <vt:vector size="54" baseType="variant">
      <vt:variant>
        <vt:i4>7602236</vt:i4>
      </vt:variant>
      <vt:variant>
        <vt:i4>24</vt:i4>
      </vt:variant>
      <vt:variant>
        <vt:i4>0</vt:i4>
      </vt:variant>
      <vt:variant>
        <vt:i4>5</vt:i4>
      </vt:variant>
      <vt:variant>
        <vt:lpwstr>https://plus.google.com/+Wyattfirm</vt:lpwstr>
      </vt:variant>
      <vt:variant>
        <vt:lpwstr>+Wyattfirm/posts</vt:lpwstr>
      </vt:variant>
      <vt:variant>
        <vt:i4>524379</vt:i4>
      </vt:variant>
      <vt:variant>
        <vt:i4>21</vt:i4>
      </vt:variant>
      <vt:variant>
        <vt:i4>0</vt:i4>
      </vt:variant>
      <vt:variant>
        <vt:i4>5</vt:i4>
      </vt:variant>
      <vt:variant>
        <vt:lpwstr>https://twitter.com/WyattLLP</vt:lpwstr>
      </vt:variant>
      <vt:variant>
        <vt:lpwstr/>
      </vt:variant>
      <vt:variant>
        <vt:i4>4128811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https://www.facebook.com/pages/Wyatt-Tarrant-Combs-LLP/223134837716706</vt:lpwstr>
      </vt:variant>
      <vt:variant>
        <vt:lpwstr/>
      </vt:variant>
      <vt:variant>
        <vt:i4>262150</vt:i4>
      </vt:variant>
      <vt:variant>
        <vt:i4>15</vt:i4>
      </vt:variant>
      <vt:variant>
        <vt:i4>0</vt:i4>
      </vt:variant>
      <vt:variant>
        <vt:i4>5</vt:i4>
      </vt:variant>
      <vt:variant>
        <vt:lpwstr>http://www.linkedin.com/company/wyatt-tarrant-&amp;-combs-llp</vt:lpwstr>
      </vt:variant>
      <vt:variant>
        <vt:lpwstr/>
      </vt:variant>
      <vt:variant>
        <vt:i4>8126559</vt:i4>
      </vt:variant>
      <vt:variant>
        <vt:i4>12</vt:i4>
      </vt:variant>
      <vt:variant>
        <vt:i4>0</vt:i4>
      </vt:variant>
      <vt:variant>
        <vt:i4>5</vt:i4>
      </vt:variant>
      <vt:variant>
        <vt:lpwstr>mailto:andrewpayton@wyattfirm.com</vt:lpwstr>
      </vt:variant>
      <vt:variant>
        <vt:lpwstr/>
      </vt:variant>
      <vt:variant>
        <vt:i4>4390920</vt:i4>
      </vt:variant>
      <vt:variant>
        <vt:i4>9</vt:i4>
      </vt:variant>
      <vt:variant>
        <vt:i4>0</vt:i4>
      </vt:variant>
      <vt:variant>
        <vt:i4>5</vt:i4>
      </vt:variant>
      <vt:variant>
        <vt:lpwstr>http://www.wyattfirm.com/</vt:lpwstr>
      </vt:variant>
      <vt:variant>
        <vt:lpwstr/>
      </vt:variant>
      <vt:variant>
        <vt:i4>3670051</vt:i4>
      </vt:variant>
      <vt:variant>
        <vt:i4>6</vt:i4>
      </vt:variant>
      <vt:variant>
        <vt:i4>0</vt:i4>
      </vt:variant>
      <vt:variant>
        <vt:i4>5</vt:i4>
      </vt:variant>
      <vt:variant>
        <vt:lpwstr>http://www.advancelaw.com/</vt:lpwstr>
      </vt:variant>
      <vt:variant>
        <vt:lpwstr/>
      </vt:variant>
      <vt:variant>
        <vt:i4>4194385</vt:i4>
      </vt:variant>
      <vt:variant>
        <vt:i4>3</vt:i4>
      </vt:variant>
      <vt:variant>
        <vt:i4>0</vt:i4>
      </vt:variant>
      <vt:variant>
        <vt:i4>5</vt:i4>
      </vt:variant>
      <vt:variant>
        <vt:lpwstr>http://www.lexmundi.com/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http://www.dupontlegalmodel.com/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TITLE</dc:title>
  <dc:subject/>
  <dc:creator>Schifferdecker, Dianne</dc:creator>
  <cp:keywords/>
  <dc:description/>
  <cp:lastModifiedBy>Nagel, Jacob</cp:lastModifiedBy>
  <cp:revision>2</cp:revision>
  <cp:lastPrinted>2019-09-09T17:50:00Z</cp:lastPrinted>
  <dcterms:created xsi:type="dcterms:W3CDTF">2022-08-18T20:22:00Z</dcterms:created>
  <dcterms:modified xsi:type="dcterms:W3CDTF">2022-08-18T20:22:00Z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VersionNumber">
    <vt:lpwstr>.1</vt:lpwstr>
  </property>
</Properties>
</file>