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C60" w:rsidRPr="00CE1C60" w:rsidRDefault="00CE1C60" w:rsidP="00CE1C60">
      <w:pPr>
        <w:spacing w:before="240"/>
        <w:jc w:val="center"/>
        <w:rPr>
          <w:rFonts w:asciiTheme="minorHAnsi" w:hAnsiTheme="minorHAnsi" w:cstheme="minorHAnsi"/>
          <w:b/>
        </w:rPr>
      </w:pPr>
      <w:r w:rsidRPr="00CE1C60">
        <w:rPr>
          <w:rFonts w:asciiTheme="minorHAnsi" w:hAnsiTheme="minorHAnsi" w:cstheme="minorHAnsi"/>
          <w:b/>
          <w:bCs/>
        </w:rPr>
        <w:t xml:space="preserve">62 Wyatt Attorneys Included in </w:t>
      </w:r>
      <w:r w:rsidRPr="00CE1C60">
        <w:rPr>
          <w:rFonts w:asciiTheme="minorHAnsi" w:hAnsiTheme="minorHAnsi" w:cstheme="minorHAnsi"/>
          <w:b/>
          <w:bCs/>
          <w:i/>
        </w:rPr>
        <w:t>The Best Lawyers in America</w:t>
      </w:r>
      <w:r w:rsidR="00251DCE" w:rsidRPr="006D6EAF">
        <w:rPr>
          <w:rFonts w:ascii="Arial" w:hAnsi="Arial" w:cs="Arial"/>
        </w:rPr>
        <w:t xml:space="preserve">® </w:t>
      </w:r>
      <w:r w:rsidRPr="00CE1C60">
        <w:rPr>
          <w:rFonts w:asciiTheme="minorHAnsi" w:hAnsiTheme="minorHAnsi" w:cstheme="minorHAnsi"/>
          <w:b/>
          <w:bCs/>
        </w:rPr>
        <w:t xml:space="preserve"> 2023 Edition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  <w:b/>
        </w:rPr>
      </w:pP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 xml:space="preserve">August </w:t>
      </w:r>
      <w:r>
        <w:rPr>
          <w:rFonts w:asciiTheme="minorHAnsi" w:hAnsiTheme="minorHAnsi" w:cstheme="minorHAnsi"/>
          <w:b/>
        </w:rPr>
        <w:t>18, 2022</w:t>
      </w:r>
      <w:r w:rsidRPr="00CE1C60">
        <w:rPr>
          <w:rFonts w:asciiTheme="minorHAnsi" w:hAnsiTheme="minorHAnsi" w:cstheme="minorHAnsi"/>
          <w:b/>
        </w:rPr>
        <w:t>.</w:t>
      </w:r>
      <w:r w:rsidRPr="00CE1C60">
        <w:rPr>
          <w:rFonts w:asciiTheme="minorHAnsi" w:hAnsiTheme="minorHAnsi" w:cstheme="minorHAnsi"/>
        </w:rPr>
        <w:t xml:space="preserve">  </w:t>
      </w:r>
      <w:r w:rsidRPr="00CE1C60">
        <w:rPr>
          <w:rFonts w:asciiTheme="minorHAnsi" w:hAnsiTheme="minorHAnsi" w:cstheme="minorHAnsi"/>
          <w:bCs/>
        </w:rPr>
        <w:t xml:space="preserve">Woodward White's </w:t>
      </w:r>
      <w:r w:rsidRPr="00CE1C60">
        <w:rPr>
          <w:rFonts w:asciiTheme="minorHAnsi" w:hAnsiTheme="minorHAnsi" w:cstheme="minorHAnsi"/>
          <w:bCs/>
          <w:i/>
        </w:rPr>
        <w:t>The Best Lawyers in America</w:t>
      </w:r>
      <w:r w:rsidR="00251DCE" w:rsidRPr="006D6EAF">
        <w:rPr>
          <w:rFonts w:ascii="Arial" w:hAnsi="Arial" w:cs="Arial"/>
        </w:rPr>
        <w:t>®</w:t>
      </w:r>
      <w:r w:rsidRPr="00CE1C60">
        <w:rPr>
          <w:rFonts w:asciiTheme="minorHAnsi" w:hAnsiTheme="minorHAnsi" w:cstheme="minorHAnsi"/>
          <w:bCs/>
        </w:rPr>
        <w:t>, one of the most highly regarded peer-review publications for the legal profession, recently announced its rankings for 202</w:t>
      </w:r>
      <w:r>
        <w:rPr>
          <w:rFonts w:asciiTheme="minorHAnsi" w:hAnsiTheme="minorHAnsi" w:cstheme="minorHAnsi"/>
          <w:bCs/>
        </w:rPr>
        <w:t>3</w:t>
      </w:r>
      <w:r w:rsidRPr="00CE1C60">
        <w:rPr>
          <w:rFonts w:asciiTheme="minorHAnsi" w:hAnsiTheme="minorHAnsi" w:cstheme="minorHAnsi"/>
          <w:bCs/>
        </w:rPr>
        <w:t xml:space="preserve">.  Wyatt is well represented, with </w:t>
      </w:r>
      <w:r>
        <w:rPr>
          <w:rFonts w:asciiTheme="minorHAnsi" w:hAnsiTheme="minorHAnsi" w:cstheme="minorHAnsi"/>
          <w:bCs/>
        </w:rPr>
        <w:t>sixty-two</w:t>
      </w:r>
      <w:r w:rsidRPr="00CE1C60">
        <w:rPr>
          <w:rFonts w:asciiTheme="minorHAnsi" w:hAnsiTheme="minorHAnsi" w:cstheme="minorHAnsi"/>
          <w:bCs/>
        </w:rPr>
        <w:t xml:space="preserve"> of its leading attorneys to be included in the new edition: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</w:rPr>
        <w:t>LEXINGTON, KY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Michael D. Baker</w:t>
      </w:r>
      <w:r w:rsidRPr="00CE1C60">
        <w:rPr>
          <w:rFonts w:asciiTheme="minorHAnsi" w:hAnsiTheme="minorHAnsi" w:cstheme="minorHAnsi"/>
        </w:rPr>
        <w:t>:  Health Care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John P. Brice</w:t>
      </w:r>
      <w:r w:rsidRPr="00CE1C60">
        <w:rPr>
          <w:rFonts w:asciiTheme="minorHAnsi" w:hAnsiTheme="minorHAnsi" w:cstheme="minorHAnsi"/>
        </w:rPr>
        <w:t xml:space="preserve">:  Litigation - Bankruptcy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Real Estate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Real Estate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J. Mark Burton</w:t>
      </w:r>
      <w:r w:rsidRPr="00CE1C60">
        <w:rPr>
          <w:rFonts w:asciiTheme="minorHAnsi" w:hAnsiTheme="minorHAnsi" w:cstheme="minorHAnsi"/>
        </w:rPr>
        <w:t>:  Real Estate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Emily H. Cowles</w:t>
      </w:r>
      <w:r w:rsidRPr="00CE1C60">
        <w:rPr>
          <w:rFonts w:asciiTheme="minorHAnsi" w:hAnsiTheme="minorHAnsi" w:cstheme="minorHAnsi"/>
        </w:rPr>
        <w:t xml:space="preserve">:  Banking and Finance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Mor</w:t>
      </w:r>
      <w:r w:rsidR="00883AB0">
        <w:rPr>
          <w:rFonts w:asciiTheme="minorHAnsi" w:hAnsiTheme="minorHAnsi" w:cstheme="minorHAnsi"/>
        </w:rPr>
        <w:t>tgage Banking Foreclosure Law, R</w:t>
      </w:r>
      <w:r>
        <w:rPr>
          <w:rFonts w:asciiTheme="minorHAnsi" w:hAnsiTheme="minorHAnsi" w:cstheme="minorHAnsi"/>
        </w:rPr>
        <w:t>eal Estate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Mary L. Fullington</w:t>
      </w:r>
      <w:r w:rsidRPr="00CE1C60">
        <w:rPr>
          <w:rFonts w:asciiTheme="minorHAnsi" w:hAnsiTheme="minorHAnsi" w:cstheme="minorHAnsi"/>
        </w:rPr>
        <w:t xml:space="preserve">:  Bankruptcy and Creditor Debtor Rights / Insolvency and Reorganization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Bankruptcy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Karen J. Greenwell</w:t>
      </w:r>
      <w:r w:rsidRPr="00CE1C60">
        <w:rPr>
          <w:rFonts w:asciiTheme="minorHAnsi" w:hAnsiTheme="minorHAnsi" w:cstheme="minorHAnsi"/>
        </w:rPr>
        <w:t xml:space="preserve">:  Energy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Mining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Natural Resources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Oil and Gas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James T. Hodge</w:t>
      </w:r>
      <w:r w:rsidRPr="00CE1C60">
        <w:rPr>
          <w:rFonts w:asciiTheme="minorHAnsi" w:hAnsiTheme="minorHAnsi" w:cstheme="minorHAnsi"/>
        </w:rPr>
        <w:t>:  Real Estate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Kevin L. Johns</w:t>
      </w:r>
      <w:r w:rsidRPr="00CE1C60">
        <w:rPr>
          <w:rFonts w:asciiTheme="minorHAnsi" w:hAnsiTheme="minorHAnsi" w:cstheme="minorHAnsi"/>
        </w:rPr>
        <w:t>:  Trusts and Estates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Glen M. Krebs</w:t>
      </w:r>
      <w:r w:rsidRPr="00CE1C60">
        <w:rPr>
          <w:rFonts w:asciiTheme="minorHAnsi" w:hAnsiTheme="minorHAnsi" w:cstheme="minorHAnsi"/>
        </w:rPr>
        <w:t>:  Immigration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Mark T. MacDonald</w:t>
      </w:r>
      <w:r w:rsidRPr="00CE1C60">
        <w:rPr>
          <w:rFonts w:asciiTheme="minorHAnsi" w:hAnsiTheme="minorHAnsi" w:cstheme="minorHAnsi"/>
        </w:rPr>
        <w:t>:  Trusts and Estates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Douglas L. McSwain</w:t>
      </w:r>
      <w:r w:rsidRPr="00CE1C60">
        <w:rPr>
          <w:rFonts w:asciiTheme="minorHAnsi" w:hAnsiTheme="minorHAnsi" w:cstheme="minorHAnsi"/>
        </w:rPr>
        <w:t xml:space="preserve">:  Employment Law - Individuals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Employment Law - Management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Health Care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Labor and Employment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Municipal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Municipal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Walter R. Morris, Jr.</w:t>
      </w:r>
      <w:r w:rsidRPr="00CE1C60">
        <w:rPr>
          <w:rFonts w:asciiTheme="minorHAnsi" w:hAnsiTheme="minorHAnsi" w:cstheme="minorHAnsi"/>
        </w:rPr>
        <w:t>:  Trusts and Estates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W. Craig Robertson III</w:t>
      </w:r>
      <w:r w:rsidRPr="00CE1C60">
        <w:rPr>
          <w:rFonts w:asciiTheme="minorHAnsi" w:hAnsiTheme="minorHAnsi" w:cstheme="minorHAnsi"/>
        </w:rPr>
        <w:t xml:space="preserve">:  Commercial Litigation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Banking and Finance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Construction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Intellectual Property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Patent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lastRenderedPageBreak/>
        <w:t>Robert S. Ryan</w:t>
      </w:r>
      <w:r w:rsidRPr="00CE1C60">
        <w:rPr>
          <w:rFonts w:asciiTheme="minorHAnsi" w:hAnsiTheme="minorHAnsi" w:cstheme="minorHAnsi"/>
        </w:rPr>
        <w:t xml:space="preserve">:  Bankruptcy and Creditor Debtor Rights / Insolvency and Reorganization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Business Organizations (including LLCs and Partnerships)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Commercial Transactions / UCC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Bankruptcy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Real Estate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Real Estate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Mickey T. Webster</w:t>
      </w:r>
      <w:r w:rsidRPr="00CE1C60">
        <w:rPr>
          <w:rFonts w:asciiTheme="minorHAnsi" w:hAnsiTheme="minorHAnsi" w:cstheme="minorHAnsi"/>
        </w:rPr>
        <w:t>:  Energy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G. Brian Wells</w:t>
      </w:r>
      <w:r w:rsidRPr="00CE1C60">
        <w:rPr>
          <w:rFonts w:asciiTheme="minorHAnsi" w:hAnsiTheme="minorHAnsi" w:cstheme="minorHAnsi"/>
        </w:rPr>
        <w:t>:  Mining Law</w:t>
      </w:r>
    </w:p>
    <w:p w:rsidR="00FB010E" w:rsidRDefault="00FB010E" w:rsidP="00CE1C60">
      <w:pPr>
        <w:keepNext/>
        <w:spacing w:after="120"/>
        <w:rPr>
          <w:rFonts w:asciiTheme="minorHAnsi" w:hAnsiTheme="minorHAnsi" w:cstheme="minorHAnsi"/>
        </w:rPr>
      </w:pPr>
    </w:p>
    <w:p w:rsidR="00CE1C60" w:rsidRPr="00CE1C60" w:rsidRDefault="00CE1C60" w:rsidP="00CE1C60">
      <w:pPr>
        <w:keepNext/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</w:rPr>
        <w:t>LOUISVILLE, KY</w:t>
      </w:r>
    </w:p>
    <w:p w:rsidR="00CE1C60" w:rsidRPr="00CE1C60" w:rsidRDefault="00CE1C60" w:rsidP="00CE1C60">
      <w:pPr>
        <w:keepNext/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Stephen D. Berger</w:t>
      </w:r>
      <w:r w:rsidRPr="00CE1C60">
        <w:rPr>
          <w:rFonts w:asciiTheme="minorHAnsi" w:hAnsiTheme="minorHAnsi" w:cstheme="minorHAnsi"/>
        </w:rPr>
        <w:t>:  Public Finance Law</w:t>
      </w:r>
    </w:p>
    <w:p w:rsidR="00CE1C60" w:rsidRPr="00CE1C60" w:rsidRDefault="00CE1C60" w:rsidP="00CE1C60">
      <w:pPr>
        <w:keepNext/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Gregory S. Berman</w:t>
      </w:r>
      <w:r w:rsidRPr="00CE1C60">
        <w:rPr>
          <w:rFonts w:asciiTheme="minorHAnsi" w:hAnsiTheme="minorHAnsi" w:cstheme="minorHAnsi"/>
        </w:rPr>
        <w:t>:  Commercial Litigation</w:t>
      </w:r>
    </w:p>
    <w:p w:rsidR="00CE1C60" w:rsidRPr="00CE1C60" w:rsidRDefault="00CE1C60" w:rsidP="00CE1C60">
      <w:pPr>
        <w:keepNext/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Turney P. Berry</w:t>
      </w:r>
      <w:r w:rsidRPr="00CE1C60">
        <w:rPr>
          <w:rFonts w:asciiTheme="minorHAnsi" w:hAnsiTheme="minorHAnsi" w:cstheme="minorHAnsi"/>
        </w:rPr>
        <w:t xml:space="preserve">:  Litigation - Trusts and Estates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</w:t>
      </w:r>
      <w:r w:rsidR="00FB010E">
        <w:rPr>
          <w:rFonts w:asciiTheme="minorHAnsi" w:hAnsiTheme="minorHAnsi" w:cstheme="minorHAnsi"/>
        </w:rPr>
        <w:t xml:space="preserve">Nonprofit/Charities Law </w:t>
      </w:r>
      <w:r w:rsidR="00FB010E" w:rsidRPr="00CE1C60">
        <w:rPr>
          <w:rFonts w:ascii="Arial" w:hAnsi="Arial" w:cs="Arial"/>
        </w:rPr>
        <w:t>●</w:t>
      </w:r>
      <w:r w:rsidR="00FB010E" w:rsidRPr="00CE1C60">
        <w:rPr>
          <w:rFonts w:asciiTheme="minorHAnsi" w:hAnsiTheme="minorHAnsi" w:cstheme="minorHAnsi"/>
        </w:rPr>
        <w:t xml:space="preserve"> </w:t>
      </w:r>
      <w:r w:rsidRPr="00CE1C60">
        <w:rPr>
          <w:rFonts w:asciiTheme="minorHAnsi" w:hAnsiTheme="minorHAnsi" w:cstheme="minorHAnsi"/>
        </w:rPr>
        <w:t>Trusts and Estates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Leo F. Camp</w:t>
      </w:r>
      <w:r w:rsidRPr="00CE1C60">
        <w:rPr>
          <w:rFonts w:asciiTheme="minorHAnsi" w:hAnsiTheme="minorHAnsi" w:cstheme="minorHAnsi"/>
        </w:rPr>
        <w:t>:  Real Estate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Carole D. Christian</w:t>
      </w:r>
      <w:r w:rsidRPr="00CE1C60">
        <w:rPr>
          <w:rFonts w:asciiTheme="minorHAnsi" w:hAnsiTheme="minorHAnsi" w:cstheme="minorHAnsi"/>
        </w:rPr>
        <w:t xml:space="preserve">:  Administrative / Regulatory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Health Care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Cornelius E. Coryell II</w:t>
      </w:r>
      <w:r w:rsidRPr="00CE1C60">
        <w:rPr>
          <w:rFonts w:asciiTheme="minorHAnsi" w:hAnsiTheme="minorHAnsi" w:cstheme="minorHAnsi"/>
        </w:rPr>
        <w:t xml:space="preserve">:  Commercial Litigation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Banking and Finance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Real Estate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Personal Injury Litigation - Defendants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Bruce K. Dudley</w:t>
      </w:r>
      <w:r w:rsidRPr="00CE1C60">
        <w:rPr>
          <w:rFonts w:asciiTheme="minorHAnsi" w:hAnsiTheme="minorHAnsi" w:cstheme="minorHAnsi"/>
        </w:rPr>
        <w:t xml:space="preserve">:  Litigation - Trusts and Estates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Trusts and Estates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C. Tyson Gorman</w:t>
      </w:r>
      <w:r w:rsidRPr="00CE1C60">
        <w:rPr>
          <w:rFonts w:asciiTheme="minorHAnsi" w:hAnsiTheme="minorHAnsi" w:cstheme="minorHAnsi"/>
        </w:rPr>
        <w:t>:  Commercial Litigation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Stephen C. Hall</w:t>
      </w:r>
      <w:r w:rsidRPr="00CE1C60">
        <w:rPr>
          <w:rFonts w:asciiTheme="minorHAnsi" w:hAnsiTheme="minorHAnsi" w:cstheme="minorHAnsi"/>
        </w:rPr>
        <w:t xml:space="preserve">:  Biotechnology and Life Sciences Practice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Trade Secrets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Robert A. Heath</w:t>
      </w:r>
      <w:r w:rsidRPr="00CE1C60">
        <w:rPr>
          <w:rFonts w:asciiTheme="minorHAnsi" w:hAnsiTheme="minorHAnsi" w:cstheme="minorHAnsi"/>
        </w:rPr>
        <w:t xml:space="preserve">:  </w:t>
      </w:r>
      <w:r w:rsidR="00076917">
        <w:rPr>
          <w:rFonts w:asciiTheme="minorHAnsi" w:hAnsiTheme="minorHAnsi" w:cstheme="minorHAnsi"/>
        </w:rPr>
        <w:t xml:space="preserve">Antitrust Law </w:t>
      </w:r>
      <w:r w:rsidR="00076917" w:rsidRPr="00CE1C60">
        <w:rPr>
          <w:rFonts w:ascii="Arial" w:hAnsi="Arial" w:cs="Arial"/>
        </w:rPr>
        <w:t>●</w:t>
      </w:r>
      <w:r w:rsidR="00076917" w:rsidRPr="00CE1C60">
        <w:rPr>
          <w:rFonts w:asciiTheme="minorHAnsi" w:hAnsiTheme="minorHAnsi" w:cstheme="minorHAnsi"/>
        </w:rPr>
        <w:t xml:space="preserve"> </w:t>
      </w:r>
      <w:r w:rsidRPr="00CE1C60">
        <w:rPr>
          <w:rFonts w:asciiTheme="minorHAnsi" w:hAnsiTheme="minorHAnsi" w:cstheme="minorHAnsi"/>
        </w:rPr>
        <w:t xml:space="preserve">Business Organizations (including LLCs and Partnerships)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Corporate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Mergers and Acquisitions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Securities / Capital Markets Law </w:t>
      </w:r>
    </w:p>
    <w:p w:rsidR="00CE1C60" w:rsidRPr="00CE1C60" w:rsidRDefault="00CE1C60" w:rsidP="00CE1C60">
      <w:pPr>
        <w:keepNext/>
        <w:keepLines/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Kelly S. Henry</w:t>
      </w:r>
      <w:r w:rsidRPr="00CE1C60">
        <w:rPr>
          <w:rFonts w:asciiTheme="minorHAnsi" w:hAnsiTheme="minorHAnsi" w:cstheme="minorHAnsi"/>
        </w:rPr>
        <w:t xml:space="preserve">:  Litigation - Trusts and Estates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Trusts and Estates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H. Carl Horneman</w:t>
      </w:r>
      <w:r w:rsidRPr="00CE1C60">
        <w:rPr>
          <w:rFonts w:asciiTheme="minorHAnsi" w:hAnsiTheme="minorHAnsi" w:cstheme="minorHAnsi"/>
        </w:rPr>
        <w:t xml:space="preserve">:  Environmental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Environmental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Franklin K. Jelsma</w:t>
      </w:r>
      <w:r w:rsidRPr="00CE1C60">
        <w:rPr>
          <w:rFonts w:asciiTheme="minorHAnsi" w:hAnsiTheme="minorHAnsi" w:cstheme="minorHAnsi"/>
        </w:rPr>
        <w:t xml:space="preserve">:  Business Organizations (including LLCs and Partnerships)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Commercial Finance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Corporate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Mergers and Acquisitions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Securities / Capital Markets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lastRenderedPageBreak/>
        <w:t>Donald J. Kelly</w:t>
      </w:r>
      <w:r w:rsidRPr="00CE1C60">
        <w:rPr>
          <w:rFonts w:asciiTheme="minorHAnsi" w:hAnsiTheme="minorHAnsi" w:cstheme="minorHAnsi"/>
        </w:rPr>
        <w:t xml:space="preserve">:  Commercial Litigation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Environmental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Mass Tort Litigation / Class Actions - Defendants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Product Liability Litigation - Defendants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Byron E. Leet</w:t>
      </w:r>
      <w:r w:rsidRPr="00CE1C60">
        <w:rPr>
          <w:rFonts w:asciiTheme="minorHAnsi" w:hAnsiTheme="minorHAnsi" w:cstheme="minorHAnsi"/>
        </w:rPr>
        <w:t xml:space="preserve">:  Bet-the-Company Litigation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Commercial Litigation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Education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Banking and Finance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Insurance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– Intellectual Property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Personal Injury Litigation - Defendants</w:t>
      </w:r>
    </w:p>
    <w:p w:rsidR="00CE1C60" w:rsidRPr="00CE1C60" w:rsidRDefault="00CE1C60" w:rsidP="00CE1C60">
      <w:pPr>
        <w:keepNext/>
        <w:keepLines/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Kathie McDonald-McClure</w:t>
      </w:r>
      <w:r w:rsidRPr="00CE1C60">
        <w:rPr>
          <w:rFonts w:asciiTheme="minorHAnsi" w:hAnsiTheme="minorHAnsi" w:cstheme="minorHAnsi"/>
        </w:rPr>
        <w:t>:  Health Care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James A. Nitsche</w:t>
      </w:r>
      <w:r w:rsidRPr="00CE1C60">
        <w:rPr>
          <w:rFonts w:asciiTheme="minorHAnsi" w:hAnsiTheme="minorHAnsi" w:cstheme="minorHAnsi"/>
        </w:rPr>
        <w:t>:  Tax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Richard Northern</w:t>
      </w:r>
      <w:r w:rsidRPr="00CE1C60">
        <w:rPr>
          <w:rFonts w:asciiTheme="minorHAnsi" w:hAnsiTheme="minorHAnsi" w:cstheme="minorHAnsi"/>
        </w:rPr>
        <w:t>:  Corporate Law</w:t>
      </w:r>
    </w:p>
    <w:p w:rsid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Deborah H. Patterson</w:t>
      </w:r>
      <w:r w:rsidRPr="00CE1C60">
        <w:rPr>
          <w:rFonts w:asciiTheme="minorHAnsi" w:hAnsiTheme="minorHAnsi" w:cstheme="minorHAnsi"/>
        </w:rPr>
        <w:t>:</w:t>
      </w:r>
      <w:r w:rsidRPr="00CE1C60">
        <w:rPr>
          <w:rFonts w:asciiTheme="minorHAnsi" w:hAnsiTheme="minorHAnsi" w:cstheme="minorHAnsi"/>
          <w:b/>
        </w:rPr>
        <w:t xml:space="preserve"> </w:t>
      </w:r>
      <w:r w:rsidRPr="00CE1C60">
        <w:rPr>
          <w:rFonts w:asciiTheme="minorHAnsi" w:hAnsiTheme="minorHAnsi" w:cstheme="minorHAnsi"/>
        </w:rPr>
        <w:t xml:space="preserve"> </w:t>
      </w:r>
      <w:r w:rsidR="0048043E">
        <w:rPr>
          <w:rFonts w:asciiTheme="minorHAnsi" w:hAnsiTheme="minorHAnsi" w:cstheme="minorHAnsi"/>
        </w:rPr>
        <w:t xml:space="preserve">Appellate Practice </w:t>
      </w:r>
      <w:r w:rsidR="0048043E" w:rsidRPr="00CE1C60">
        <w:rPr>
          <w:rFonts w:ascii="Arial" w:hAnsi="Arial" w:cs="Arial"/>
        </w:rPr>
        <w:t>●</w:t>
      </w:r>
      <w:r w:rsidR="0048043E" w:rsidRPr="00CE1C60">
        <w:rPr>
          <w:rFonts w:asciiTheme="minorHAnsi" w:hAnsiTheme="minorHAnsi" w:cstheme="minorHAnsi"/>
        </w:rPr>
        <w:t xml:space="preserve"> </w:t>
      </w:r>
      <w:r w:rsidRPr="00CE1C60">
        <w:rPr>
          <w:rFonts w:asciiTheme="minorHAnsi" w:hAnsiTheme="minorHAnsi" w:cstheme="minorHAnsi"/>
        </w:rPr>
        <w:t>Media Law</w:t>
      </w:r>
    </w:p>
    <w:p w:rsidR="0048043E" w:rsidRPr="00CE1C60" w:rsidRDefault="0048043E" w:rsidP="00CE1C60">
      <w:pPr>
        <w:spacing w:after="120"/>
        <w:rPr>
          <w:rFonts w:asciiTheme="minorHAnsi" w:hAnsiTheme="minorHAnsi" w:cstheme="minorHAnsi"/>
        </w:rPr>
      </w:pPr>
      <w:r w:rsidRPr="0048043E">
        <w:rPr>
          <w:rFonts w:asciiTheme="minorHAnsi" w:hAnsiTheme="minorHAnsi" w:cstheme="minorHAnsi"/>
          <w:b/>
        </w:rPr>
        <w:t>Sherry P. Porter</w:t>
      </w:r>
      <w:r>
        <w:rPr>
          <w:rFonts w:asciiTheme="minorHAnsi" w:hAnsiTheme="minorHAnsi" w:cstheme="minorHAnsi"/>
        </w:rPr>
        <w:t>:  Employee Benefits (ERISA)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Grover C. Potts, Jr.</w:t>
      </w:r>
      <w:r w:rsidRPr="00CE1C60">
        <w:rPr>
          <w:rFonts w:asciiTheme="minorHAnsi" w:hAnsiTheme="minorHAnsi" w:cstheme="minorHAnsi"/>
        </w:rPr>
        <w:t xml:space="preserve">:  Litigation - Real Estate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Real Estate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Caryn F. Price</w:t>
      </w:r>
      <w:r w:rsidRPr="00CE1C60">
        <w:rPr>
          <w:rFonts w:asciiTheme="minorHAnsi" w:hAnsiTheme="minorHAnsi" w:cstheme="minorHAnsi"/>
        </w:rPr>
        <w:t xml:space="preserve">:  Banking and Finance Law 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Stephen R. Price, Sr.</w:t>
      </w:r>
      <w:r w:rsidRPr="00CE1C60">
        <w:rPr>
          <w:rFonts w:asciiTheme="minorHAnsi" w:hAnsiTheme="minorHAnsi" w:cstheme="minorHAnsi"/>
        </w:rPr>
        <w:t xml:space="preserve">:  Commercial Litigation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Health Care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David W. Seewer</w:t>
      </w:r>
      <w:r w:rsidRPr="00CE1C60">
        <w:rPr>
          <w:rFonts w:asciiTheme="minorHAnsi" w:hAnsiTheme="minorHAnsi" w:cstheme="minorHAnsi"/>
        </w:rPr>
        <w:t xml:space="preserve">:  Banking and Finance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Real Estate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Michael B. Vincenti</w:t>
      </w:r>
      <w:r w:rsidRPr="00CE1C60">
        <w:rPr>
          <w:rFonts w:asciiTheme="minorHAnsi" w:hAnsiTheme="minorHAnsi" w:cstheme="minorHAnsi"/>
        </w:rPr>
        <w:t>:  Real Estate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Jeffrey E. Wallace</w:t>
      </w:r>
      <w:r w:rsidRPr="00CE1C60">
        <w:rPr>
          <w:rFonts w:asciiTheme="minorHAnsi" w:hAnsiTheme="minorHAnsi" w:cstheme="minorHAnsi"/>
        </w:rPr>
        <w:t>:  Real Estate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Matthew Williams</w:t>
      </w:r>
      <w:r w:rsidRPr="00CE1C60">
        <w:rPr>
          <w:rFonts w:asciiTheme="minorHAnsi" w:hAnsiTheme="minorHAnsi" w:cstheme="minorHAnsi"/>
        </w:rPr>
        <w:t>:</w:t>
      </w:r>
      <w:r w:rsidRPr="00CE1C60">
        <w:rPr>
          <w:rFonts w:asciiTheme="minorHAnsi" w:hAnsiTheme="minorHAnsi" w:cstheme="minorHAnsi"/>
          <w:b/>
        </w:rPr>
        <w:t xml:space="preserve">  </w:t>
      </w:r>
      <w:r w:rsidRPr="00CE1C60">
        <w:rPr>
          <w:rFonts w:asciiTheme="minorHAnsi" w:hAnsiTheme="minorHAnsi" w:cstheme="minorHAnsi"/>
        </w:rPr>
        <w:t xml:space="preserve">Copyright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Trademark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John W. Woodard, Jr.</w:t>
      </w:r>
      <w:r w:rsidRPr="00CE1C60">
        <w:rPr>
          <w:rFonts w:asciiTheme="minorHAnsi" w:hAnsiTheme="minorHAnsi" w:cstheme="minorHAnsi"/>
        </w:rPr>
        <w:t xml:space="preserve">:  Commercial Litigation 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Gordon B. Wright</w:t>
      </w:r>
      <w:r w:rsidRPr="00CE1C60">
        <w:rPr>
          <w:rFonts w:asciiTheme="minorHAnsi" w:hAnsiTheme="minorHAnsi" w:cstheme="minorHAnsi"/>
        </w:rPr>
        <w:t xml:space="preserve">:  Employee Benefits (ERISA)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Trusts and Estates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Michelle D. Wyrick</w:t>
      </w:r>
      <w:r w:rsidRPr="00CE1C60">
        <w:rPr>
          <w:rFonts w:asciiTheme="minorHAnsi" w:hAnsiTheme="minorHAnsi" w:cstheme="minorHAnsi"/>
        </w:rPr>
        <w:t xml:space="preserve">:  Employment Law - Management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ERISA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Mitzi D. Wyrick</w:t>
      </w:r>
      <w:r w:rsidRPr="00CE1C60">
        <w:rPr>
          <w:rFonts w:asciiTheme="minorHAnsi" w:hAnsiTheme="minorHAnsi" w:cstheme="minorHAnsi"/>
        </w:rPr>
        <w:t>:  Employment Law - Management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Cynthia W. Young</w:t>
      </w:r>
      <w:r w:rsidRPr="00CE1C60">
        <w:rPr>
          <w:rFonts w:asciiTheme="minorHAnsi" w:hAnsiTheme="minorHAnsi" w:cstheme="minorHAnsi"/>
        </w:rPr>
        <w:t xml:space="preserve">:  Banking and Finance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Corporate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Financial Services Regulation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Mergers and Acquisitions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Securities / Capital Markets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Jefferey M. Yussman</w:t>
      </w:r>
      <w:r w:rsidRPr="00CE1C60">
        <w:rPr>
          <w:rFonts w:asciiTheme="minorHAnsi" w:hAnsiTheme="minorHAnsi" w:cstheme="minorHAnsi"/>
        </w:rPr>
        <w:t xml:space="preserve">:  Elder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Trusts and Estates</w:t>
      </w:r>
    </w:p>
    <w:p w:rsidR="00CE1C60" w:rsidRPr="00CE1C60" w:rsidRDefault="00CE1C60" w:rsidP="00CE1C60">
      <w:pPr>
        <w:keepNext/>
        <w:keepLines/>
        <w:spacing w:after="120"/>
        <w:rPr>
          <w:rFonts w:asciiTheme="minorHAnsi" w:hAnsiTheme="minorHAnsi" w:cstheme="minorHAnsi"/>
        </w:rPr>
      </w:pPr>
    </w:p>
    <w:p w:rsidR="00CE1C60" w:rsidRPr="00CE1C60" w:rsidRDefault="00CE1C60" w:rsidP="00CE1C60">
      <w:pPr>
        <w:keepNext/>
        <w:keepLines/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</w:rPr>
        <w:t>MEMPHIS, TN</w:t>
      </w:r>
    </w:p>
    <w:p w:rsidR="00CE1C60" w:rsidRPr="00CE1C60" w:rsidRDefault="00CE1C60" w:rsidP="00CE1C60">
      <w:pPr>
        <w:keepNext/>
        <w:keepLines/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Douglas M. Alrutz</w:t>
      </w:r>
      <w:r w:rsidRPr="00CE1C60">
        <w:rPr>
          <w:rFonts w:asciiTheme="minorHAnsi" w:hAnsiTheme="minorHAnsi" w:cstheme="minorHAnsi"/>
        </w:rPr>
        <w:t>:  Bankruptcy and Creditor Debtor Rights / Insolvency and Reorganization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Robert E. Craddock, Jr.</w:t>
      </w:r>
      <w:r w:rsidRPr="00CE1C60">
        <w:rPr>
          <w:rFonts w:asciiTheme="minorHAnsi" w:hAnsiTheme="minorHAnsi" w:cstheme="minorHAnsi"/>
        </w:rPr>
        <w:t xml:space="preserve">:  Commercial Litigation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Insurance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Banking and Finance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Intellectual Property 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Lee A. Harkavy</w:t>
      </w:r>
      <w:r w:rsidRPr="00CE1C60">
        <w:rPr>
          <w:rFonts w:asciiTheme="minorHAnsi" w:hAnsiTheme="minorHAnsi" w:cstheme="minorHAnsi"/>
        </w:rPr>
        <w:t xml:space="preserve">:  Corporate Law </w:t>
      </w:r>
      <w:bookmarkStart w:id="0" w:name="_GoBack"/>
      <w:bookmarkEnd w:id="0"/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Mergers and Acquisitions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James G. M. Lenschau</w:t>
      </w:r>
      <w:r w:rsidRPr="00CE1C60">
        <w:rPr>
          <w:rFonts w:asciiTheme="minorHAnsi" w:hAnsiTheme="minorHAnsi" w:cstheme="minorHAnsi"/>
        </w:rPr>
        <w:t xml:space="preserve">:  Commercial Transactions / UCC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Real Estate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Matthew M. Lubozynski</w:t>
      </w:r>
      <w:r w:rsidRPr="00CE1C60">
        <w:rPr>
          <w:rFonts w:asciiTheme="minorHAnsi" w:hAnsiTheme="minorHAnsi" w:cstheme="minorHAnsi"/>
        </w:rPr>
        <w:t>:  Litigation – Intellectual Property</w:t>
      </w:r>
      <w:r w:rsidR="00B01367">
        <w:rPr>
          <w:rFonts w:asciiTheme="minorHAnsi" w:hAnsiTheme="minorHAnsi" w:cstheme="minorHAnsi"/>
        </w:rPr>
        <w:t xml:space="preserve"> </w:t>
      </w:r>
      <w:r w:rsidR="00B01367" w:rsidRPr="00CE1C60">
        <w:rPr>
          <w:rFonts w:ascii="Arial" w:hAnsi="Arial" w:cs="Arial"/>
        </w:rPr>
        <w:t>●</w:t>
      </w:r>
      <w:r w:rsidR="00B01367">
        <w:rPr>
          <w:rFonts w:ascii="Arial" w:hAnsi="Arial" w:cs="Arial"/>
        </w:rPr>
        <w:t xml:space="preserve"> Litigation - Patent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Richard C. Raines</w:t>
      </w:r>
      <w:r w:rsidRPr="00CE1C60">
        <w:rPr>
          <w:rFonts w:asciiTheme="minorHAnsi" w:hAnsiTheme="minorHAnsi" w:cstheme="minorHAnsi"/>
        </w:rPr>
        <w:t xml:space="preserve">:  Corporate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Real Estate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Securitization and Structured Finance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Mark Vorder-Bruegge, Jr.</w:t>
      </w:r>
      <w:r w:rsidRPr="00CE1C60">
        <w:rPr>
          <w:rFonts w:asciiTheme="minorHAnsi" w:hAnsiTheme="minorHAnsi" w:cstheme="minorHAnsi"/>
        </w:rPr>
        <w:t xml:space="preserve">:  Commercial Litigation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Intellectual Property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 – Securities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</w:rPr>
        <w:t>NASHVILLE, TN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James C. Bradshaw III</w:t>
      </w:r>
      <w:r w:rsidRPr="00CE1C60">
        <w:rPr>
          <w:rFonts w:asciiTheme="minorHAnsi" w:hAnsiTheme="minorHAnsi" w:cstheme="minorHAnsi"/>
        </w:rPr>
        <w:t xml:space="preserve">:  Litigation - Intellectual Property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Product Liability Litigation - Defendants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J. Graham Matherne</w:t>
      </w:r>
      <w:r w:rsidRPr="00CE1C60">
        <w:rPr>
          <w:rFonts w:asciiTheme="minorHAnsi" w:hAnsiTheme="minorHAnsi" w:cstheme="minorHAnsi"/>
        </w:rPr>
        <w:t xml:space="preserve">:  Insurance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– Insurance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Intellectual Property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Edwin S. Pyle</w:t>
      </w:r>
      <w:r w:rsidRPr="00CE1C60">
        <w:rPr>
          <w:rFonts w:asciiTheme="minorHAnsi" w:hAnsiTheme="minorHAnsi" w:cstheme="minorHAnsi"/>
        </w:rPr>
        <w:t xml:space="preserve">:  Litigation and Controversy - Tax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Tax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Trusts and Estates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Frank H. Reeves</w:t>
      </w:r>
      <w:r w:rsidRPr="00CE1C60">
        <w:rPr>
          <w:rFonts w:asciiTheme="minorHAnsi" w:hAnsiTheme="minorHAnsi" w:cstheme="minorHAnsi"/>
        </w:rPr>
        <w:t>:  Banking and Finance Law</w:t>
      </w:r>
    </w:p>
    <w:p w:rsidR="00CE1C60" w:rsidRPr="00CE1C60" w:rsidRDefault="00CE1C60" w:rsidP="00CE1C60">
      <w:pPr>
        <w:spacing w:after="120"/>
        <w:rPr>
          <w:rFonts w:asciiTheme="minorHAnsi" w:hAnsiTheme="minorHAnsi" w:cstheme="minorHAnsi"/>
        </w:rPr>
      </w:pPr>
      <w:r w:rsidRPr="00CE1C60">
        <w:rPr>
          <w:rFonts w:asciiTheme="minorHAnsi" w:hAnsiTheme="minorHAnsi" w:cstheme="minorHAnsi"/>
          <w:b/>
        </w:rPr>
        <w:t>B. Anthony Saunders</w:t>
      </w:r>
      <w:r w:rsidRPr="00CE1C60">
        <w:rPr>
          <w:rFonts w:asciiTheme="minorHAnsi" w:hAnsiTheme="minorHAnsi" w:cstheme="minorHAnsi"/>
        </w:rPr>
        <w:t xml:space="preserve">:  Banking and Finance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Commercial Finance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Real Estate Law</w:t>
      </w:r>
    </w:p>
    <w:p w:rsidR="00CE1C60" w:rsidRPr="00CE1C60" w:rsidRDefault="00CE1C60" w:rsidP="00CE1C60">
      <w:pPr>
        <w:spacing w:after="120"/>
        <w:rPr>
          <w:rFonts w:ascii="Arial" w:hAnsi="Arial" w:cs="Arial"/>
          <w:sz w:val="22"/>
          <w:szCs w:val="22"/>
        </w:rPr>
      </w:pPr>
      <w:r w:rsidRPr="00CE1C60">
        <w:rPr>
          <w:rFonts w:asciiTheme="minorHAnsi" w:hAnsiTheme="minorHAnsi" w:cstheme="minorHAnsi"/>
          <w:b/>
        </w:rPr>
        <w:t>John Knox Walkup</w:t>
      </w:r>
      <w:r w:rsidRPr="00CE1C60">
        <w:rPr>
          <w:rFonts w:asciiTheme="minorHAnsi" w:hAnsiTheme="minorHAnsi" w:cstheme="minorHAnsi"/>
        </w:rPr>
        <w:t xml:space="preserve">:  Commercial Litigation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Insurance Law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Regulatory Enforcement (SEC, Telecom, Energy) </w:t>
      </w:r>
      <w:r w:rsidRPr="00CE1C60">
        <w:rPr>
          <w:rFonts w:ascii="Arial" w:hAnsi="Arial" w:cs="Arial"/>
        </w:rPr>
        <w:t>●</w:t>
      </w:r>
      <w:r w:rsidRPr="00CE1C60">
        <w:rPr>
          <w:rFonts w:asciiTheme="minorHAnsi" w:hAnsiTheme="minorHAnsi" w:cstheme="minorHAnsi"/>
        </w:rPr>
        <w:t xml:space="preserve"> Litigation - Securities</w:t>
      </w:r>
    </w:p>
    <w:p w:rsidR="004478DC" w:rsidRDefault="004478DC" w:rsidP="00FC0CE6">
      <w:pPr>
        <w:pStyle w:val="ShortLines"/>
        <w:spacing w:after="0"/>
        <w:jc w:val="center"/>
        <w:rPr>
          <w:rFonts w:asciiTheme="majorHAnsi" w:hAnsiTheme="majorHAnsi" w:cs="Arial"/>
          <w:b/>
        </w:rPr>
      </w:pPr>
    </w:p>
    <w:p w:rsidR="008F49DC" w:rsidRDefault="008F49DC" w:rsidP="00FC0CE6">
      <w:pPr>
        <w:pStyle w:val="ShortLines"/>
        <w:spacing w:after="0"/>
        <w:jc w:val="center"/>
        <w:rPr>
          <w:rFonts w:asciiTheme="majorHAnsi" w:hAnsiTheme="majorHAnsi" w:cs="Arial"/>
          <w:b/>
        </w:rPr>
      </w:pPr>
    </w:p>
    <w:p w:rsidR="00FC0CE6" w:rsidRPr="004478DC" w:rsidRDefault="00FC0CE6" w:rsidP="00FC0CE6">
      <w:pPr>
        <w:pStyle w:val="ShortLines"/>
        <w:spacing w:after="0"/>
        <w:jc w:val="both"/>
        <w:rPr>
          <w:rFonts w:asciiTheme="minorHAnsi" w:hAnsiTheme="minorHAnsi" w:cstheme="minorHAnsi"/>
        </w:rPr>
      </w:pPr>
      <w:r w:rsidRPr="004478DC">
        <w:rPr>
          <w:rFonts w:asciiTheme="minorHAnsi" w:hAnsiTheme="minorHAnsi" w:cstheme="minorHAnsi"/>
        </w:rPr>
        <w:lastRenderedPageBreak/>
        <w:t xml:space="preserve">Wyatt, Tarrant &amp; Combs, LLP maintains an active national practice with five offices located in Louisville and Lexington, Kentucky; New Albany, Indiana; and Memphis and Nashville, Tennessee.  The firm’s structure and industry-focused practice groups enable efficient and effective delivery of legal services.  Wyatt accomplishes its clients’ goals and objectives by committing </w:t>
      </w:r>
      <w:r w:rsidR="00EC0F55" w:rsidRPr="004478DC">
        <w:rPr>
          <w:rFonts w:asciiTheme="minorHAnsi" w:hAnsiTheme="minorHAnsi" w:cstheme="minorHAnsi"/>
        </w:rPr>
        <w:t>itself</w:t>
      </w:r>
      <w:r w:rsidRPr="004478DC">
        <w:rPr>
          <w:rFonts w:asciiTheme="minorHAnsi" w:hAnsiTheme="minorHAnsi" w:cstheme="minorHAnsi"/>
        </w:rPr>
        <w:t xml:space="preserve"> each day to </w:t>
      </w:r>
      <w:r w:rsidR="00801988">
        <w:rPr>
          <w:rFonts w:asciiTheme="minorHAnsi" w:hAnsiTheme="minorHAnsi" w:cstheme="minorHAnsi"/>
        </w:rPr>
        <w:t>the principle</w:t>
      </w:r>
      <w:r w:rsidRPr="004478DC">
        <w:rPr>
          <w:rFonts w:asciiTheme="minorHAnsi" w:hAnsiTheme="minorHAnsi" w:cstheme="minorHAnsi"/>
        </w:rPr>
        <w:t xml:space="preserve"> of “Your Success Defines Us.”  Wyatt is a founding participant firm in </w:t>
      </w:r>
      <w:hyperlink r:id="rId9" w:history="1">
        <w:proofErr w:type="spellStart"/>
        <w:r w:rsidRPr="004478DC">
          <w:rPr>
            <w:rStyle w:val="Hyperlink"/>
            <w:rFonts w:asciiTheme="minorHAnsi" w:hAnsiTheme="minorHAnsi" w:cstheme="minorHAnsi"/>
          </w:rPr>
          <w:t>AdvanceLaw</w:t>
        </w:r>
        <w:proofErr w:type="spellEnd"/>
      </w:hyperlink>
      <w:r w:rsidR="00670146" w:rsidRPr="004478DC">
        <w:rPr>
          <w:rFonts w:asciiTheme="minorHAnsi" w:hAnsiTheme="minorHAnsi" w:cstheme="minorHAnsi"/>
        </w:rPr>
        <w:t xml:space="preserve">.  </w:t>
      </w:r>
      <w:r w:rsidRPr="004478DC">
        <w:rPr>
          <w:rFonts w:asciiTheme="minorHAnsi" w:hAnsiTheme="minorHAnsi" w:cstheme="minorHAnsi"/>
        </w:rPr>
        <w:t xml:space="preserve">For more information about the legal counsel Wyatt provides, and its commitment to client service visit </w:t>
      </w:r>
      <w:hyperlink r:id="rId10" w:history="1">
        <w:r w:rsidRPr="004478DC">
          <w:rPr>
            <w:rStyle w:val="Hyperlink"/>
            <w:rFonts w:asciiTheme="minorHAnsi" w:hAnsiTheme="minorHAnsi" w:cstheme="minorHAnsi"/>
          </w:rPr>
          <w:t>wyattfirm.com</w:t>
        </w:r>
      </w:hyperlink>
      <w:r w:rsidRPr="004478DC">
        <w:rPr>
          <w:rFonts w:asciiTheme="minorHAnsi" w:hAnsiTheme="minorHAnsi" w:cstheme="minorHAnsi"/>
        </w:rPr>
        <w:t xml:space="preserve">.  </w:t>
      </w:r>
    </w:p>
    <w:p w:rsidR="00F9783A" w:rsidRPr="004478DC" w:rsidRDefault="00F9783A" w:rsidP="00FC0CE6">
      <w:pPr>
        <w:pStyle w:val="ShortLines"/>
        <w:spacing w:after="0"/>
        <w:jc w:val="both"/>
        <w:rPr>
          <w:rFonts w:asciiTheme="minorHAnsi" w:hAnsiTheme="minorHAnsi" w:cstheme="minorHAnsi"/>
        </w:rPr>
      </w:pPr>
    </w:p>
    <w:p w:rsidR="00F9783A" w:rsidRPr="004478DC" w:rsidRDefault="00F9783A" w:rsidP="00F9783A">
      <w:pPr>
        <w:pStyle w:val="ShortLines"/>
        <w:spacing w:after="0"/>
        <w:rPr>
          <w:rFonts w:asciiTheme="minorHAnsi" w:hAnsiTheme="minorHAnsi" w:cstheme="minorHAnsi"/>
          <w:b/>
        </w:rPr>
      </w:pPr>
      <w:r w:rsidRPr="004478DC">
        <w:rPr>
          <w:rFonts w:asciiTheme="minorHAnsi" w:hAnsiTheme="minorHAnsi" w:cstheme="minorHAnsi"/>
          <w:b/>
        </w:rPr>
        <w:t xml:space="preserve">Contact </w:t>
      </w:r>
    </w:p>
    <w:p w:rsidR="00124C22" w:rsidRPr="004478DC" w:rsidRDefault="00124C22" w:rsidP="00F9783A">
      <w:pPr>
        <w:pStyle w:val="ShortLines"/>
        <w:spacing w:after="0"/>
        <w:rPr>
          <w:rFonts w:asciiTheme="minorHAnsi" w:hAnsiTheme="minorHAnsi" w:cstheme="minorHAnsi"/>
          <w:b/>
        </w:rPr>
      </w:pPr>
    </w:p>
    <w:p w:rsidR="00F9783A" w:rsidRPr="004478DC" w:rsidRDefault="00F9783A" w:rsidP="00F9783A">
      <w:pPr>
        <w:pStyle w:val="ShortLines"/>
        <w:rPr>
          <w:rFonts w:asciiTheme="minorHAnsi" w:hAnsiTheme="minorHAnsi" w:cstheme="minorHAnsi"/>
          <w:b/>
        </w:rPr>
      </w:pPr>
      <w:r w:rsidRPr="004478DC">
        <w:rPr>
          <w:rFonts w:asciiTheme="minorHAnsi" w:hAnsiTheme="minorHAnsi" w:cstheme="minorHAnsi"/>
        </w:rPr>
        <w:t>Andrew J. Payton</w:t>
      </w:r>
    </w:p>
    <w:p w:rsidR="00F9783A" w:rsidRPr="004478DC" w:rsidRDefault="00F9783A" w:rsidP="00F9783A">
      <w:pPr>
        <w:pStyle w:val="ShortLines"/>
        <w:rPr>
          <w:rFonts w:asciiTheme="minorHAnsi" w:hAnsiTheme="minorHAnsi" w:cstheme="minorHAnsi"/>
        </w:rPr>
      </w:pPr>
      <w:r w:rsidRPr="004478DC">
        <w:rPr>
          <w:rFonts w:asciiTheme="minorHAnsi" w:hAnsiTheme="minorHAnsi" w:cstheme="minorHAnsi"/>
        </w:rPr>
        <w:t>Chief Marketing Officer and Director of Recruiting</w:t>
      </w:r>
    </w:p>
    <w:p w:rsidR="00F9783A" w:rsidRPr="004478DC" w:rsidRDefault="00F9783A" w:rsidP="00F9783A">
      <w:pPr>
        <w:pStyle w:val="ShortLines"/>
        <w:rPr>
          <w:rFonts w:asciiTheme="minorHAnsi" w:hAnsiTheme="minorHAnsi" w:cstheme="minorHAnsi"/>
        </w:rPr>
      </w:pPr>
      <w:r w:rsidRPr="004478DC">
        <w:rPr>
          <w:rFonts w:asciiTheme="minorHAnsi" w:hAnsiTheme="minorHAnsi" w:cstheme="minorHAnsi"/>
        </w:rPr>
        <w:t>Wyatt, Tarrant &amp; Combs, LLP</w:t>
      </w:r>
    </w:p>
    <w:p w:rsidR="00F9783A" w:rsidRPr="004478DC" w:rsidRDefault="004967E4" w:rsidP="00F9783A">
      <w:pPr>
        <w:pStyle w:val="ShortLines"/>
        <w:rPr>
          <w:rFonts w:asciiTheme="minorHAnsi" w:hAnsiTheme="minorHAnsi" w:cstheme="minorHAnsi"/>
        </w:rPr>
      </w:pPr>
      <w:r w:rsidRPr="004478DC">
        <w:rPr>
          <w:rFonts w:asciiTheme="minorHAnsi" w:hAnsiTheme="minorHAnsi" w:cstheme="minorHAnsi"/>
        </w:rPr>
        <w:t>400 West Market Street, Suite 2000</w:t>
      </w:r>
    </w:p>
    <w:p w:rsidR="00F9783A" w:rsidRPr="004478DC" w:rsidRDefault="00F9783A" w:rsidP="00F9783A">
      <w:pPr>
        <w:pStyle w:val="ShortLines"/>
        <w:rPr>
          <w:rFonts w:asciiTheme="minorHAnsi" w:hAnsiTheme="minorHAnsi" w:cstheme="minorHAnsi"/>
        </w:rPr>
      </w:pPr>
      <w:r w:rsidRPr="004478DC">
        <w:rPr>
          <w:rFonts w:asciiTheme="minorHAnsi" w:hAnsiTheme="minorHAnsi" w:cstheme="minorHAnsi"/>
        </w:rPr>
        <w:t>Louisville, KY  40202</w:t>
      </w:r>
    </w:p>
    <w:p w:rsidR="00F9783A" w:rsidRPr="00960F09" w:rsidRDefault="00F9783A" w:rsidP="00F9783A">
      <w:pPr>
        <w:pStyle w:val="ShortLines"/>
        <w:rPr>
          <w:rFonts w:ascii="Arial" w:hAnsi="Arial" w:cs="Arial"/>
          <w:bCs/>
        </w:rPr>
      </w:pPr>
      <w:r w:rsidRPr="004478DC">
        <w:rPr>
          <w:rFonts w:asciiTheme="minorHAnsi" w:hAnsiTheme="minorHAnsi" w:cstheme="minorHAnsi"/>
        </w:rPr>
        <w:t>502.562.7160</w:t>
      </w:r>
      <w:r w:rsidRPr="004478DC">
        <w:rPr>
          <w:rFonts w:asciiTheme="minorHAnsi" w:hAnsiTheme="minorHAnsi" w:cstheme="minorHAnsi"/>
        </w:rPr>
        <w:br/>
      </w:r>
      <w:hyperlink r:id="rId11" w:history="1">
        <w:r w:rsidRPr="004478DC">
          <w:rPr>
            <w:rStyle w:val="Hyperlink"/>
            <w:rFonts w:asciiTheme="minorHAnsi" w:hAnsiTheme="minorHAnsi" w:cstheme="minorHAnsi"/>
          </w:rPr>
          <w:t>andrewpayton@wyattfirm.com</w:t>
        </w:r>
      </w:hyperlink>
    </w:p>
    <w:p w:rsidR="001360FE" w:rsidRPr="00960F09" w:rsidRDefault="001360FE">
      <w:pPr>
        <w:pStyle w:val="ShortLines"/>
        <w:spacing w:after="0"/>
        <w:rPr>
          <w:rFonts w:ascii="Arial" w:hAnsi="Arial" w:cs="Arial"/>
        </w:rPr>
      </w:pPr>
    </w:p>
    <w:p w:rsidR="001360FE" w:rsidRPr="00960F09" w:rsidRDefault="001360FE">
      <w:pPr>
        <w:pStyle w:val="ShortLines"/>
        <w:spacing w:after="0"/>
        <w:rPr>
          <w:rFonts w:ascii="Arial" w:hAnsi="Arial" w:cs="Arial"/>
        </w:rPr>
      </w:pPr>
    </w:p>
    <w:p w:rsidR="001360FE" w:rsidRDefault="001360FE">
      <w:pPr>
        <w:pStyle w:val="ShortLines"/>
        <w:spacing w:after="0"/>
        <w:rPr>
          <w:rFonts w:ascii="Arial" w:hAnsi="Arial" w:cs="Arial"/>
        </w:rPr>
      </w:pPr>
    </w:p>
    <w:sdt>
      <w:sdtPr>
        <w:alias w:val="BEC LegalBar File Stamp"/>
        <w:tag w:val="BEC.LegalBar.FileStamp"/>
        <w:id w:val="131519725"/>
        <w:placeholder>
          <w:docPart w:val="DDF987CA508141A39EE67F97CCAA91C4"/>
        </w:placeholder>
      </w:sdtPr>
      <w:sdtEndPr/>
      <w:sdtContent>
        <w:p w:rsidR="00CE1C60" w:rsidRPr="00960F09" w:rsidRDefault="00D12EAF" w:rsidP="00CE1C60">
          <w:pPr>
            <w:pStyle w:val="FileStampParagraph"/>
          </w:pPr>
          <w:sdt>
            <w:sdtPr>
              <w:rPr>
                <w:rStyle w:val="FileStampCharacter"/>
              </w:rPr>
              <w:tag w:val="BEC.LegalBar.FileStamp.DocNumber"/>
              <w:id w:val="209765654"/>
              <w:placeholder>
                <w:docPart w:val="2B8C0D8C00F44F4ABEAAA80E7AFE2970"/>
              </w:placeholder>
              <w:dataBinding w:prefixMappings="xmlns:ns='http://schemas.beclegal.com/legalbar/filestamp'" w:xpath="ns:filestamp/ns:DocNumber" w:storeItemID="{9C835A8B-2A54-46FF-A6C6-EFA98A3A59E1}"/>
              <w:text/>
            </w:sdtPr>
            <w:sdtEndPr>
              <w:rPr>
                <w:rStyle w:val="DefaultParagraphFont"/>
                <w:snapToGrid/>
              </w:rPr>
            </w:sdtEndPr>
            <w:sdtContent>
              <w:r w:rsidR="00CE1C60">
                <w:rPr>
                  <w:rStyle w:val="FileStampCharacter"/>
                </w:rPr>
                <w:t>100859178</w:t>
              </w:r>
            </w:sdtContent>
          </w:sdt>
          <w:sdt>
            <w:sdtPr>
              <w:rPr>
                <w:rStyle w:val="FileStampCharacter"/>
              </w:rPr>
              <w:tag w:val="BEC.LegalBar.FileStamp.Text"/>
              <w:id w:val="-683903906"/>
              <w:placeholder>
                <w:docPart w:val="B5BB875B210446AB800A4459DEBFF4BB"/>
              </w:placeholder>
              <w:text/>
            </w:sdtPr>
            <w:sdtEndPr>
              <w:rPr>
                <w:rStyle w:val="FileStampCharacter"/>
              </w:rPr>
            </w:sdtEndPr>
            <w:sdtContent>
              <w:r w:rsidR="00CE1C60" w:rsidRPr="00CE1C60">
                <w:rPr>
                  <w:rStyle w:val="FileStampCharacter"/>
                </w:rPr>
                <w:t>.</w:t>
              </w:r>
            </w:sdtContent>
          </w:sdt>
          <w:sdt>
            <w:sdtPr>
              <w:rPr>
                <w:rStyle w:val="FileStampCharacter"/>
              </w:rPr>
              <w:tag w:val="BEC.LegalBar.FileStamp.Version"/>
              <w:id w:val="1573929242"/>
              <w:placeholder>
                <w:docPart w:val="EAE47DB157964D5DB15303E379D85964"/>
              </w:placeholder>
              <w:dataBinding w:prefixMappings="xmlns:ns='http://schemas.beclegal.com/legalbar/filestamp'" w:xpath="ns:filestamp/ns:Version" w:storeItemID="{9C835A8B-2A54-46FF-A6C6-EFA98A3A59E1}"/>
              <w:text/>
            </w:sdtPr>
            <w:sdtEndPr>
              <w:rPr>
                <w:rStyle w:val="FileStampCharacter"/>
              </w:rPr>
            </w:sdtEndPr>
            <w:sdtContent>
              <w:r w:rsidR="00CE1C60">
                <w:rPr>
                  <w:rStyle w:val="FileStampCharacter"/>
                </w:rPr>
                <w:t>1</w:t>
              </w:r>
            </w:sdtContent>
          </w:sdt>
        </w:p>
      </w:sdtContent>
    </w:sdt>
    <w:sectPr w:rsidR="00CE1C60" w:rsidRPr="00960F09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C60" w:rsidRDefault="00CE1C60">
      <w:r>
        <w:separator/>
      </w:r>
    </w:p>
  </w:endnote>
  <w:endnote w:type="continuationSeparator" w:id="0">
    <w:p w:rsidR="00CE1C60" w:rsidRDefault="00CE1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Slab">
    <w:panose1 w:val="00000000000000000000"/>
    <w:charset w:val="00"/>
    <w:family w:val="auto"/>
    <w:pitch w:val="variable"/>
    <w:sig w:usb0="200002FF" w:usb1="00000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845" w:rsidRPr="00CE1C60" w:rsidRDefault="00213345" w:rsidP="00C63845">
    <w:pPr>
      <w:pStyle w:val="Footer"/>
      <w:jc w:val="center"/>
      <w:rPr>
        <w:rFonts w:ascii="Cambria" w:hAnsi="Cambria" w:cs="Calibri"/>
        <w:color w:val="3B6E8F"/>
        <w:sz w:val="16"/>
        <w:szCs w:val="16"/>
      </w:rPr>
    </w:pPr>
    <w:r>
      <w:rPr>
        <w:rFonts w:ascii="Arial" w:hAnsi="Arial" w:cs="Arial"/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62875" cy="790575"/>
          <wp:effectExtent l="0" t="0" r="9525" b="9525"/>
          <wp:wrapTopAndBottom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ress Release Footer - New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2875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63845" w:rsidRDefault="00C63845" w:rsidP="00C63845">
    <w:pPr>
      <w:rPr>
        <w:rFonts w:ascii="Arial" w:hAnsi="Arial" w:cs="Arial"/>
      </w:rPr>
    </w:pPr>
  </w:p>
  <w:p w:rsidR="00C63845" w:rsidRDefault="00C638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C60" w:rsidRDefault="00CE1C60">
      <w:r>
        <w:separator/>
      </w:r>
    </w:p>
  </w:footnote>
  <w:footnote w:type="continuationSeparator" w:id="0">
    <w:p w:rsidR="00CE1C60" w:rsidRDefault="00CE1C60">
      <w:r>
        <w:separator/>
      </w:r>
    </w:p>
    <w:p w:rsidR="00CE1C60" w:rsidRDefault="00CE1C60">
      <w:r>
        <w:t>(…continued)</w:t>
      </w:r>
    </w:p>
    <w:p w:rsidR="00CE1C60" w:rsidRDefault="00CE1C60"/>
  </w:footnote>
  <w:footnote w:type="continuationNotice" w:id="1">
    <w:p w:rsidR="00CE1C60" w:rsidRDefault="00CE1C60">
      <w:pPr>
        <w:jc w:val="right"/>
      </w:pPr>
      <w:r>
        <w:t>(continued…)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0FE" w:rsidRDefault="00124C22">
    <w:pPr>
      <w:pStyle w:val="Header"/>
    </w:pPr>
    <w:r>
      <w:rPr>
        <w:noProof/>
        <w:szCs w:val="2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-285750</wp:posOffset>
          </wp:positionV>
          <wp:extent cx="7762875" cy="723900"/>
          <wp:effectExtent l="0" t="0" r="9525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287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49CF81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27A5A2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33AD9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6784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058DD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B4ED17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56E24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BD45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EAAA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56036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570856"/>
    <w:multiLevelType w:val="multilevel"/>
    <w:tmpl w:val="04090023"/>
    <w:numStyleLink w:val="ArticleSection"/>
  </w:abstractNum>
  <w:abstractNum w:abstractNumId="11" w15:restartNumberingAfterBreak="0">
    <w:nsid w:val="223B6F22"/>
    <w:multiLevelType w:val="multilevel"/>
    <w:tmpl w:val="0409001F"/>
    <w:numStyleLink w:val="111111"/>
  </w:abstractNum>
  <w:abstractNum w:abstractNumId="12" w15:restartNumberingAfterBreak="0">
    <w:nsid w:val="25DE00B5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6E719C0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E397091"/>
    <w:multiLevelType w:val="multilevel"/>
    <w:tmpl w:val="7A00BDF2"/>
    <w:lvl w:ilvl="0">
      <w:start w:val="1"/>
      <w:numFmt w:val="decimal"/>
      <w:pStyle w:val="Heading1"/>
      <w:lvlText w:val="%1."/>
      <w:lvlJc w:val="left"/>
      <w:pPr>
        <w:tabs>
          <w:tab w:val="num" w:pos="1440"/>
        </w:tabs>
        <w:ind w:left="0" w:firstLine="720"/>
      </w:pPr>
      <w:rPr>
        <w:rFonts w:hint="default"/>
        <w:b w:val="0"/>
        <w:u w:val="none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2160"/>
        </w:tabs>
        <w:ind w:left="0" w:firstLine="1440"/>
      </w:pPr>
      <w:rPr>
        <w:rFonts w:hint="default"/>
        <w:b w:val="0"/>
        <w:u w:val="none"/>
      </w:rPr>
    </w:lvl>
    <w:lvl w:ilvl="2">
      <w:start w:val="1"/>
      <w:numFmt w:val="decimal"/>
      <w:pStyle w:val="Heading3"/>
      <w:lvlText w:val="[%3]"/>
      <w:lvlJc w:val="left"/>
      <w:pPr>
        <w:tabs>
          <w:tab w:val="num" w:pos="2880"/>
        </w:tabs>
        <w:ind w:left="720" w:firstLine="1440"/>
      </w:pPr>
      <w:rPr>
        <w:rFonts w:hint="default"/>
        <w:b w:val="0"/>
        <w:u w:val="none"/>
      </w:rPr>
    </w:lvl>
    <w:lvl w:ilvl="3">
      <w:start w:val="1"/>
      <w:numFmt w:val="lowerLetter"/>
      <w:pStyle w:val="Heading4"/>
      <w:lvlText w:val="[%4]"/>
      <w:lvlJc w:val="left"/>
      <w:pPr>
        <w:tabs>
          <w:tab w:val="num" w:pos="3600"/>
        </w:tabs>
        <w:ind w:left="1440" w:firstLine="1440"/>
      </w:pPr>
      <w:rPr>
        <w:rFonts w:hint="default"/>
        <w:b w:val="0"/>
        <w:u w:val="none"/>
      </w:rPr>
    </w:lvl>
    <w:lvl w:ilvl="4">
      <w:start w:val="1"/>
      <w:numFmt w:val="lowerRoman"/>
      <w:pStyle w:val="Heading5"/>
      <w:lvlText w:val="[%5]"/>
      <w:lvlJc w:val="right"/>
      <w:pPr>
        <w:tabs>
          <w:tab w:val="num" w:pos="4320"/>
        </w:tabs>
        <w:ind w:left="2160" w:firstLine="1440"/>
      </w:pPr>
      <w:rPr>
        <w:rFonts w:hint="default"/>
        <w:b w:val="0"/>
        <w:u w:val="none"/>
      </w:rPr>
    </w:lvl>
    <w:lvl w:ilvl="5">
      <w:start w:val="1"/>
      <w:numFmt w:val="upperLetter"/>
      <w:pStyle w:val="Heading6"/>
      <w:lvlText w:val="[%6]"/>
      <w:lvlJc w:val="left"/>
      <w:pPr>
        <w:tabs>
          <w:tab w:val="num" w:pos="5040"/>
        </w:tabs>
        <w:ind w:left="2880" w:firstLine="1440"/>
      </w:pPr>
      <w:rPr>
        <w:rFonts w:hint="default"/>
        <w:b w:val="0"/>
        <w:u w:val="none"/>
      </w:rPr>
    </w:lvl>
    <w:lvl w:ilvl="6">
      <w:start w:val="1"/>
      <w:numFmt w:val="upperRoman"/>
      <w:pStyle w:val="Heading7"/>
      <w:lvlText w:val="[%7]"/>
      <w:lvlJc w:val="left"/>
      <w:pPr>
        <w:tabs>
          <w:tab w:val="num" w:pos="5760"/>
        </w:tabs>
        <w:ind w:left="3600" w:firstLine="1440"/>
      </w:pPr>
      <w:rPr>
        <w:rFonts w:hint="default"/>
        <w:b w:val="0"/>
        <w:u w:val="none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6480"/>
        </w:tabs>
        <w:ind w:left="4320" w:firstLine="1440"/>
      </w:pPr>
      <w:rPr>
        <w:rFonts w:hint="default"/>
        <w:b w:val="0"/>
        <w:u w:val="none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7200"/>
        </w:tabs>
        <w:ind w:left="5040" w:firstLine="1440"/>
      </w:pPr>
      <w:rPr>
        <w:rFonts w:hint="default"/>
        <w:b w:val="0"/>
        <w:u w:val="none"/>
      </w:rPr>
    </w:lvl>
  </w:abstractNum>
  <w:abstractNum w:abstractNumId="15" w15:restartNumberingAfterBreak="0">
    <w:nsid w:val="2EF94DC2"/>
    <w:multiLevelType w:val="hybridMultilevel"/>
    <w:tmpl w:val="9F982E1C"/>
    <w:lvl w:ilvl="0" w:tplc="3794BB0C">
      <w:start w:val="1"/>
      <w:numFmt w:val="bullet"/>
      <w:lvlText w:val=""/>
      <w:lvlJc w:val="left"/>
      <w:pPr>
        <w:tabs>
          <w:tab w:val="num" w:pos="720"/>
        </w:tabs>
        <w:ind w:left="144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8139C9"/>
    <w:multiLevelType w:val="singleLevel"/>
    <w:tmpl w:val="AC50F95E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7" w15:restartNumberingAfterBreak="0">
    <w:nsid w:val="7D60249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9"/>
  </w:num>
  <w:num w:numId="2">
    <w:abstractNumId w:val="7"/>
  </w:num>
  <w:num w:numId="3">
    <w:abstractNumId w:val="14"/>
  </w:num>
  <w:num w:numId="4">
    <w:abstractNumId w:val="12"/>
  </w:num>
  <w:num w:numId="5">
    <w:abstractNumId w:val="16"/>
  </w:num>
  <w:num w:numId="6">
    <w:abstractNumId w:val="15"/>
  </w:num>
  <w:num w:numId="7">
    <w:abstractNumId w:val="15"/>
  </w:num>
  <w:num w:numId="8">
    <w:abstractNumId w:val="16"/>
  </w:num>
  <w:num w:numId="9">
    <w:abstractNumId w:val="14"/>
  </w:num>
  <w:num w:numId="10">
    <w:abstractNumId w:val="14"/>
  </w:num>
  <w:num w:numId="11">
    <w:abstractNumId w:val="13"/>
  </w:num>
  <w:num w:numId="12">
    <w:abstractNumId w:val="11"/>
  </w:num>
  <w:num w:numId="13">
    <w:abstractNumId w:val="17"/>
  </w:num>
  <w:num w:numId="14">
    <w:abstractNumId w:val="10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1"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C60"/>
    <w:rsid w:val="00076917"/>
    <w:rsid w:val="0010383A"/>
    <w:rsid w:val="00107A74"/>
    <w:rsid w:val="00124C22"/>
    <w:rsid w:val="001360FE"/>
    <w:rsid w:val="00171F8E"/>
    <w:rsid w:val="00180698"/>
    <w:rsid w:val="00213345"/>
    <w:rsid w:val="00251DCE"/>
    <w:rsid w:val="00292CA6"/>
    <w:rsid w:val="002B6962"/>
    <w:rsid w:val="0031084D"/>
    <w:rsid w:val="004478DC"/>
    <w:rsid w:val="004768CB"/>
    <w:rsid w:val="0048043E"/>
    <w:rsid w:val="004967E4"/>
    <w:rsid w:val="004C1FA5"/>
    <w:rsid w:val="00512AC7"/>
    <w:rsid w:val="00516EA7"/>
    <w:rsid w:val="005D61A3"/>
    <w:rsid w:val="005F36EA"/>
    <w:rsid w:val="00615176"/>
    <w:rsid w:val="00670146"/>
    <w:rsid w:val="006B3973"/>
    <w:rsid w:val="006D4A45"/>
    <w:rsid w:val="006E3FF6"/>
    <w:rsid w:val="00704E35"/>
    <w:rsid w:val="007E1233"/>
    <w:rsid w:val="00801988"/>
    <w:rsid w:val="008609C8"/>
    <w:rsid w:val="00883AB0"/>
    <w:rsid w:val="00884BF5"/>
    <w:rsid w:val="008B4415"/>
    <w:rsid w:val="008F05ED"/>
    <w:rsid w:val="008F49DC"/>
    <w:rsid w:val="00922533"/>
    <w:rsid w:val="00960F09"/>
    <w:rsid w:val="009666D2"/>
    <w:rsid w:val="009C645C"/>
    <w:rsid w:val="00A81F56"/>
    <w:rsid w:val="00AA421F"/>
    <w:rsid w:val="00B01367"/>
    <w:rsid w:val="00B04238"/>
    <w:rsid w:val="00B36060"/>
    <w:rsid w:val="00BC50DC"/>
    <w:rsid w:val="00C63845"/>
    <w:rsid w:val="00C8345E"/>
    <w:rsid w:val="00CD1CD2"/>
    <w:rsid w:val="00CD7251"/>
    <w:rsid w:val="00CE1C60"/>
    <w:rsid w:val="00D529DF"/>
    <w:rsid w:val="00D57C8A"/>
    <w:rsid w:val="00D61115"/>
    <w:rsid w:val="00D66D3D"/>
    <w:rsid w:val="00E01235"/>
    <w:rsid w:val="00E347D9"/>
    <w:rsid w:val="00EC0F55"/>
    <w:rsid w:val="00EC1BAD"/>
    <w:rsid w:val="00ED2502"/>
    <w:rsid w:val="00F9783A"/>
    <w:rsid w:val="00FB010E"/>
    <w:rsid w:val="00FC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4:docId w14:val="6255983B"/>
  <w15:docId w15:val="{9E611B98-7585-4164-8860-7B21AA906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szCs w:val="24"/>
    </w:rPr>
  </w:style>
  <w:style w:type="paragraph" w:styleId="Heading1">
    <w:name w:val="heading 1"/>
    <w:basedOn w:val="Normal"/>
    <w:qFormat/>
    <w:pPr>
      <w:keepNext/>
      <w:numPr>
        <w:numId w:val="10"/>
      </w:numPr>
      <w:spacing w:after="240"/>
      <w:outlineLvl w:val="0"/>
    </w:pPr>
    <w:rPr>
      <w:bCs/>
      <w:snapToGrid w:val="0"/>
    </w:rPr>
  </w:style>
  <w:style w:type="paragraph" w:styleId="Heading2">
    <w:name w:val="heading 2"/>
    <w:basedOn w:val="Normal"/>
    <w:qFormat/>
    <w:pPr>
      <w:keepNext/>
      <w:numPr>
        <w:ilvl w:val="1"/>
        <w:numId w:val="10"/>
      </w:numPr>
      <w:spacing w:after="240"/>
      <w:outlineLvl w:val="1"/>
    </w:pPr>
    <w:rPr>
      <w:bCs/>
      <w:snapToGrid w:val="0"/>
    </w:rPr>
  </w:style>
  <w:style w:type="paragraph" w:styleId="Heading3">
    <w:name w:val="heading 3"/>
    <w:basedOn w:val="Normal"/>
    <w:qFormat/>
    <w:pPr>
      <w:keepNext/>
      <w:numPr>
        <w:ilvl w:val="2"/>
        <w:numId w:val="10"/>
      </w:numPr>
      <w:spacing w:after="240"/>
      <w:outlineLvl w:val="2"/>
    </w:pPr>
    <w:rPr>
      <w:bCs/>
      <w:snapToGrid w:val="0"/>
    </w:rPr>
  </w:style>
  <w:style w:type="paragraph" w:styleId="Heading4">
    <w:name w:val="heading 4"/>
    <w:basedOn w:val="Normal"/>
    <w:qFormat/>
    <w:pPr>
      <w:keepNext/>
      <w:numPr>
        <w:ilvl w:val="3"/>
        <w:numId w:val="10"/>
      </w:numPr>
      <w:spacing w:after="240"/>
      <w:outlineLvl w:val="3"/>
    </w:pPr>
    <w:rPr>
      <w:bCs/>
      <w:snapToGrid w:val="0"/>
    </w:rPr>
  </w:style>
  <w:style w:type="paragraph" w:styleId="Heading5">
    <w:name w:val="heading 5"/>
    <w:basedOn w:val="Normal"/>
    <w:qFormat/>
    <w:pPr>
      <w:numPr>
        <w:ilvl w:val="4"/>
        <w:numId w:val="10"/>
      </w:numPr>
      <w:spacing w:after="240"/>
      <w:outlineLvl w:val="4"/>
    </w:pPr>
    <w:rPr>
      <w:bCs/>
      <w:snapToGrid w:val="0"/>
    </w:rPr>
  </w:style>
  <w:style w:type="paragraph" w:styleId="Heading6">
    <w:name w:val="heading 6"/>
    <w:basedOn w:val="Normal"/>
    <w:qFormat/>
    <w:pPr>
      <w:numPr>
        <w:ilvl w:val="5"/>
        <w:numId w:val="10"/>
      </w:numPr>
      <w:spacing w:after="240"/>
      <w:outlineLvl w:val="5"/>
    </w:pPr>
    <w:rPr>
      <w:bCs/>
      <w:snapToGrid w:val="0"/>
    </w:rPr>
  </w:style>
  <w:style w:type="paragraph" w:styleId="Heading7">
    <w:name w:val="heading 7"/>
    <w:basedOn w:val="Normal"/>
    <w:qFormat/>
    <w:pPr>
      <w:numPr>
        <w:ilvl w:val="6"/>
        <w:numId w:val="10"/>
      </w:numPr>
      <w:spacing w:after="240"/>
      <w:outlineLvl w:val="6"/>
    </w:pPr>
    <w:rPr>
      <w:bCs/>
      <w:snapToGrid w:val="0"/>
    </w:rPr>
  </w:style>
  <w:style w:type="paragraph" w:styleId="Heading8">
    <w:name w:val="heading 8"/>
    <w:basedOn w:val="Normal"/>
    <w:qFormat/>
    <w:pPr>
      <w:numPr>
        <w:ilvl w:val="7"/>
        <w:numId w:val="10"/>
      </w:numPr>
      <w:spacing w:after="240"/>
      <w:outlineLvl w:val="7"/>
    </w:pPr>
    <w:rPr>
      <w:bCs/>
      <w:snapToGrid w:val="0"/>
    </w:rPr>
  </w:style>
  <w:style w:type="paragraph" w:styleId="Heading9">
    <w:name w:val="heading 9"/>
    <w:basedOn w:val="Normal"/>
    <w:qFormat/>
    <w:pPr>
      <w:numPr>
        <w:ilvl w:val="8"/>
        <w:numId w:val="10"/>
      </w:numPr>
      <w:spacing w:after="240"/>
      <w:outlineLvl w:val="8"/>
    </w:pPr>
    <w:rPr>
      <w:bCs/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Single1">
    <w:name w:val="*Body Single 1"/>
    <w:aliases w:val="BS1"/>
    <w:basedOn w:val="Normal"/>
    <w:pPr>
      <w:spacing w:after="240"/>
      <w:ind w:firstLine="1440"/>
    </w:pPr>
  </w:style>
  <w:style w:type="paragraph" w:customStyle="1" w:styleId="BodySingle5">
    <w:name w:val="*Body Single 5"/>
    <w:aliases w:val="BS5"/>
    <w:basedOn w:val="Normal"/>
    <w:pPr>
      <w:spacing w:after="240"/>
      <w:ind w:firstLine="720"/>
    </w:pPr>
  </w:style>
  <w:style w:type="paragraph" w:customStyle="1" w:styleId="QuoteSingle5">
    <w:name w:val="*Quote Single 5"/>
    <w:aliases w:val="QS5"/>
    <w:basedOn w:val="Normal"/>
    <w:pPr>
      <w:spacing w:after="240"/>
      <w:ind w:left="720" w:right="720"/>
    </w:pPr>
    <w:rPr>
      <w:bCs/>
    </w:rPr>
  </w:style>
  <w:style w:type="paragraph" w:customStyle="1" w:styleId="TitleBC">
    <w:name w:val="*Title BC"/>
    <w:aliases w:val="TBC"/>
    <w:basedOn w:val="Normal"/>
    <w:pPr>
      <w:keepNext/>
      <w:spacing w:after="240"/>
      <w:jc w:val="center"/>
    </w:pPr>
    <w:rPr>
      <w:b/>
    </w:rPr>
  </w:style>
  <w:style w:type="paragraph" w:customStyle="1" w:styleId="TitleBCU">
    <w:name w:val="*Title BCU"/>
    <w:aliases w:val="TBCU"/>
    <w:basedOn w:val="Normal"/>
    <w:pPr>
      <w:keepNext/>
      <w:spacing w:after="240"/>
      <w:jc w:val="center"/>
    </w:pPr>
    <w:rPr>
      <w:b/>
      <w:u w:val="single"/>
    </w:rPr>
  </w:style>
  <w:style w:type="paragraph" w:styleId="Header">
    <w:name w:val="header"/>
    <w:basedOn w:val="Normal"/>
    <w:pPr>
      <w:tabs>
        <w:tab w:val="center" w:pos="4680"/>
        <w:tab w:val="right" w:pos="9360"/>
      </w:tabs>
      <w:jc w:val="left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jc w:val="left"/>
    </w:pPr>
  </w:style>
  <w:style w:type="paragraph" w:styleId="FootnoteText">
    <w:name w:val="footnote text"/>
    <w:basedOn w:val="Normal"/>
    <w:semiHidden/>
    <w:pPr>
      <w:spacing w:after="240"/>
    </w:pPr>
  </w:style>
  <w:style w:type="paragraph" w:customStyle="1" w:styleId="BodyDbl1">
    <w:name w:val="*Body Dbl 1"/>
    <w:aliases w:val="BD1"/>
    <w:basedOn w:val="Normal"/>
    <w:pPr>
      <w:spacing w:line="480" w:lineRule="auto"/>
      <w:ind w:firstLine="1440"/>
    </w:pPr>
  </w:style>
  <w:style w:type="paragraph" w:customStyle="1" w:styleId="BodyDbl5">
    <w:name w:val="*Body Dbl 5"/>
    <w:aliases w:val="BD5"/>
    <w:basedOn w:val="Normal"/>
    <w:pPr>
      <w:spacing w:line="480" w:lineRule="auto"/>
      <w:ind w:firstLine="720"/>
    </w:pPr>
  </w:style>
  <w:style w:type="paragraph" w:customStyle="1" w:styleId="BodyDblIndent1">
    <w:name w:val="*Body Dbl Indent 1"/>
    <w:aliases w:val="BDI1"/>
    <w:basedOn w:val="Normal"/>
    <w:pPr>
      <w:spacing w:line="480" w:lineRule="auto"/>
      <w:ind w:left="1440"/>
    </w:pPr>
    <w:rPr>
      <w:bCs/>
    </w:rPr>
  </w:style>
  <w:style w:type="paragraph" w:customStyle="1" w:styleId="BodyDblIndent5">
    <w:name w:val="*Body Dbl Indent 5"/>
    <w:aliases w:val="BDI5"/>
    <w:basedOn w:val="Normal"/>
    <w:pPr>
      <w:spacing w:line="480" w:lineRule="auto"/>
      <w:ind w:left="720"/>
    </w:pPr>
    <w:rPr>
      <w:bCs/>
    </w:rPr>
  </w:style>
  <w:style w:type="character" w:customStyle="1" w:styleId="LBFileStampAtCursor">
    <w:name w:val="LBFileStampAtCursor"/>
    <w:rPr>
      <w:rFonts w:ascii="Times New Roman" w:hAnsi="Times New Roman" w:cs="Times New Roman"/>
      <w:b/>
      <w:sz w:val="16"/>
      <w:szCs w:val="32"/>
    </w:rPr>
  </w:style>
  <w:style w:type="paragraph" w:customStyle="1" w:styleId="BodyDbl">
    <w:name w:val="*Body Dbl"/>
    <w:aliases w:val="BD"/>
    <w:basedOn w:val="Normal"/>
    <w:pPr>
      <w:spacing w:line="480" w:lineRule="auto"/>
    </w:pPr>
  </w:style>
  <w:style w:type="paragraph" w:customStyle="1" w:styleId="LBFileStampAtEnd">
    <w:name w:val="LBFileStampAtEnd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360"/>
    </w:pPr>
    <w:rPr>
      <w:b/>
      <w:bCs/>
      <w:sz w:val="16"/>
      <w:szCs w:val="32"/>
    </w:rPr>
  </w:style>
  <w:style w:type="paragraph" w:customStyle="1" w:styleId="BodySingleIndent1">
    <w:name w:val="*Body Single Indent 1"/>
    <w:aliases w:val="BSI1"/>
    <w:basedOn w:val="Normal"/>
    <w:pPr>
      <w:spacing w:after="240"/>
      <w:ind w:left="1440"/>
    </w:pPr>
    <w:rPr>
      <w:bCs/>
    </w:rPr>
  </w:style>
  <w:style w:type="paragraph" w:customStyle="1" w:styleId="BodySingleIndent5">
    <w:name w:val="*Body Single Indent 5"/>
    <w:aliases w:val="BSI5"/>
    <w:basedOn w:val="Normal"/>
    <w:pPr>
      <w:spacing w:after="240"/>
      <w:ind w:left="720"/>
    </w:pPr>
    <w:rPr>
      <w:bCs/>
    </w:rPr>
  </w:style>
  <w:style w:type="paragraph" w:customStyle="1" w:styleId="BodySingle">
    <w:name w:val="*Body Single"/>
    <w:aliases w:val="BS"/>
    <w:basedOn w:val="Normal"/>
    <w:pPr>
      <w:spacing w:after="240"/>
    </w:pPr>
  </w:style>
  <w:style w:type="paragraph" w:customStyle="1" w:styleId="FlushRightDotLeader">
    <w:name w:val="*Flush Right Dot Leader"/>
    <w:aliases w:val="FRD"/>
    <w:basedOn w:val="Normal"/>
    <w:pPr>
      <w:tabs>
        <w:tab w:val="right" w:leader="dot" w:pos="9360"/>
      </w:tabs>
      <w:spacing w:after="240"/>
      <w:contextualSpacing/>
    </w:pPr>
    <w:rPr>
      <w:szCs w:val="20"/>
    </w:rPr>
  </w:style>
  <w:style w:type="paragraph" w:customStyle="1" w:styleId="FlushRight">
    <w:name w:val="*Flush Right"/>
    <w:aliases w:val="FR"/>
    <w:basedOn w:val="Normal"/>
    <w:pPr>
      <w:tabs>
        <w:tab w:val="right" w:pos="9360"/>
      </w:tabs>
      <w:spacing w:after="240"/>
      <w:contextualSpacing/>
    </w:pPr>
  </w:style>
  <w:style w:type="paragraph" w:customStyle="1" w:styleId="QuoteDbl1">
    <w:name w:val="*Quote Dbl 1"/>
    <w:aliases w:val="QD1"/>
    <w:basedOn w:val="Normal"/>
    <w:pPr>
      <w:spacing w:line="480" w:lineRule="auto"/>
      <w:ind w:left="1440" w:right="1440"/>
    </w:pPr>
    <w:rPr>
      <w:bCs/>
      <w:szCs w:val="20"/>
    </w:rPr>
  </w:style>
  <w:style w:type="paragraph" w:customStyle="1" w:styleId="QuoteDbl15">
    <w:name w:val="*Quote Dbl 15"/>
    <w:aliases w:val="QD15"/>
    <w:basedOn w:val="Normal"/>
    <w:pPr>
      <w:spacing w:line="480" w:lineRule="auto"/>
      <w:ind w:left="1440" w:right="1440" w:firstLine="720"/>
    </w:pPr>
    <w:rPr>
      <w:bCs/>
      <w:szCs w:val="20"/>
    </w:rPr>
  </w:style>
  <w:style w:type="paragraph" w:customStyle="1" w:styleId="QuoteDbl5">
    <w:name w:val="*Quote Dbl 5"/>
    <w:aliases w:val="QD5"/>
    <w:basedOn w:val="Normal"/>
    <w:pPr>
      <w:spacing w:line="480" w:lineRule="auto"/>
      <w:ind w:left="720" w:right="720"/>
    </w:pPr>
    <w:rPr>
      <w:bCs/>
      <w:szCs w:val="20"/>
    </w:rPr>
  </w:style>
  <w:style w:type="paragraph" w:customStyle="1" w:styleId="QuoteDbl55">
    <w:name w:val="*Quote Dbl 55"/>
    <w:aliases w:val="QD55"/>
    <w:basedOn w:val="Normal"/>
    <w:pPr>
      <w:spacing w:line="480" w:lineRule="auto"/>
      <w:ind w:left="720" w:right="720" w:firstLine="720"/>
    </w:pPr>
    <w:rPr>
      <w:bCs/>
      <w:szCs w:val="20"/>
    </w:rPr>
  </w:style>
  <w:style w:type="paragraph" w:customStyle="1" w:styleId="QuoteSingle1">
    <w:name w:val="*Quote Single 1"/>
    <w:aliases w:val="QS1"/>
    <w:basedOn w:val="Normal"/>
    <w:pPr>
      <w:spacing w:after="240"/>
      <w:ind w:left="1440" w:right="1440"/>
    </w:pPr>
    <w:rPr>
      <w:bCs/>
    </w:rPr>
  </w:style>
  <w:style w:type="paragraph" w:customStyle="1" w:styleId="QuoteSingle15">
    <w:name w:val="*Quote Single 15"/>
    <w:aliases w:val="QS15"/>
    <w:basedOn w:val="Normal"/>
    <w:pPr>
      <w:spacing w:after="240"/>
      <w:ind w:left="1440" w:right="1440" w:firstLine="720"/>
    </w:pPr>
    <w:rPr>
      <w:bCs/>
      <w:szCs w:val="20"/>
    </w:rPr>
  </w:style>
  <w:style w:type="paragraph" w:customStyle="1" w:styleId="QuoteSingle55">
    <w:name w:val="*Quote Single 55"/>
    <w:aliases w:val="QS55"/>
    <w:basedOn w:val="Normal"/>
    <w:pPr>
      <w:spacing w:after="240"/>
      <w:ind w:left="720" w:right="720" w:firstLine="720"/>
    </w:pPr>
    <w:rPr>
      <w:bCs/>
    </w:rPr>
  </w:style>
  <w:style w:type="paragraph" w:customStyle="1" w:styleId="TitleB1">
    <w:name w:val="*Title B1"/>
    <w:aliases w:val="TB1"/>
    <w:basedOn w:val="Normal"/>
    <w:pPr>
      <w:keepNext/>
      <w:spacing w:after="240"/>
      <w:ind w:left="1440"/>
    </w:pPr>
    <w:rPr>
      <w:b/>
    </w:rPr>
  </w:style>
  <w:style w:type="paragraph" w:customStyle="1" w:styleId="TitleB5">
    <w:name w:val="*Title B5"/>
    <w:aliases w:val="TB5"/>
    <w:basedOn w:val="Normal"/>
    <w:pPr>
      <w:keepNext/>
      <w:spacing w:after="240"/>
      <w:ind w:left="720"/>
    </w:pPr>
    <w:rPr>
      <w:b/>
    </w:rPr>
  </w:style>
  <w:style w:type="paragraph" w:customStyle="1" w:styleId="TitleBL">
    <w:name w:val="*Title BL"/>
    <w:aliases w:val="TBL"/>
    <w:basedOn w:val="Normal"/>
    <w:pPr>
      <w:keepNext/>
      <w:spacing w:after="240"/>
    </w:pPr>
    <w:rPr>
      <w:b/>
    </w:rPr>
  </w:style>
  <w:style w:type="paragraph" w:customStyle="1" w:styleId="TitleBLU">
    <w:name w:val="*Title BLU"/>
    <w:aliases w:val="TBLU"/>
    <w:basedOn w:val="Normal"/>
    <w:pPr>
      <w:keepNext/>
      <w:spacing w:after="240"/>
    </w:pPr>
    <w:rPr>
      <w:b/>
      <w:u w:val="single"/>
    </w:rPr>
  </w:style>
  <w:style w:type="paragraph" w:customStyle="1" w:styleId="TitleBU1">
    <w:name w:val="*Title BU1"/>
    <w:aliases w:val="TBU1"/>
    <w:basedOn w:val="Normal"/>
    <w:pPr>
      <w:keepNext/>
      <w:spacing w:after="240"/>
      <w:ind w:left="1440"/>
    </w:pPr>
    <w:rPr>
      <w:b/>
      <w:u w:val="single"/>
    </w:rPr>
  </w:style>
  <w:style w:type="paragraph" w:customStyle="1" w:styleId="TitleBU5">
    <w:name w:val="*Title BU5"/>
    <w:aliases w:val="TBU5"/>
    <w:basedOn w:val="Normal"/>
    <w:pPr>
      <w:keepNext/>
      <w:spacing w:after="240"/>
      <w:ind w:left="720"/>
    </w:pPr>
    <w:rPr>
      <w:b/>
      <w:u w:val="single"/>
    </w:rPr>
  </w:style>
  <w:style w:type="paragraph" w:customStyle="1" w:styleId="TitleC">
    <w:name w:val="*Title C"/>
    <w:aliases w:val="TC"/>
    <w:basedOn w:val="Normal"/>
    <w:pPr>
      <w:keepNext/>
      <w:spacing w:after="240"/>
      <w:jc w:val="center"/>
    </w:pPr>
  </w:style>
  <w:style w:type="paragraph" w:customStyle="1" w:styleId="TitleCU">
    <w:name w:val="*Title CU"/>
    <w:aliases w:val="TCU"/>
    <w:basedOn w:val="Normal"/>
    <w:pPr>
      <w:keepNext/>
      <w:spacing w:after="240"/>
      <w:jc w:val="center"/>
    </w:pPr>
    <w:rPr>
      <w:u w:val="single"/>
    </w:rPr>
  </w:style>
  <w:style w:type="paragraph" w:customStyle="1" w:styleId="TitleL">
    <w:name w:val="*Title L"/>
    <w:aliases w:val="TL"/>
    <w:basedOn w:val="Normal"/>
    <w:pPr>
      <w:keepNext/>
      <w:spacing w:after="240"/>
    </w:pPr>
  </w:style>
  <w:style w:type="paragraph" w:customStyle="1" w:styleId="TitleLU">
    <w:name w:val="*Title LU"/>
    <w:aliases w:val="TLU"/>
    <w:basedOn w:val="Normal"/>
    <w:pPr>
      <w:keepNext/>
      <w:spacing w:after="240"/>
    </w:pPr>
    <w:rPr>
      <w:u w:val="single"/>
    </w:rPr>
  </w:style>
  <w:style w:type="paragraph" w:customStyle="1" w:styleId="TitleU1">
    <w:name w:val="*Title U1"/>
    <w:aliases w:val="TU1"/>
    <w:basedOn w:val="Normal"/>
    <w:pPr>
      <w:keepNext/>
      <w:spacing w:after="240"/>
      <w:ind w:left="1440"/>
    </w:pPr>
    <w:rPr>
      <w:u w:val="single"/>
    </w:rPr>
  </w:style>
  <w:style w:type="paragraph" w:customStyle="1" w:styleId="TitleU5">
    <w:name w:val="*Title U5"/>
    <w:aliases w:val="TU5"/>
    <w:basedOn w:val="Normal"/>
    <w:pPr>
      <w:keepNext/>
      <w:spacing w:after="240"/>
      <w:ind w:left="720"/>
    </w:pPr>
    <w:rPr>
      <w:u w:val="single"/>
    </w:rPr>
  </w:style>
  <w:style w:type="paragraph" w:customStyle="1" w:styleId="ShortLines5">
    <w:name w:val="*Short Lines .5"/>
    <w:aliases w:val="SL5"/>
    <w:basedOn w:val="Normal"/>
    <w:pPr>
      <w:spacing w:after="240"/>
      <w:ind w:left="720"/>
      <w:contextualSpacing/>
      <w:jc w:val="left"/>
    </w:pPr>
  </w:style>
  <w:style w:type="paragraph" w:customStyle="1" w:styleId="ShortLines1">
    <w:name w:val="*Short Lines 1"/>
    <w:aliases w:val="SL1"/>
    <w:basedOn w:val="Normal"/>
    <w:pPr>
      <w:spacing w:after="240"/>
      <w:ind w:left="1440"/>
      <w:contextualSpacing/>
      <w:jc w:val="left"/>
    </w:pPr>
  </w:style>
  <w:style w:type="paragraph" w:customStyle="1" w:styleId="ShortLines">
    <w:name w:val="*Short Lines"/>
    <w:aliases w:val="SL"/>
    <w:basedOn w:val="Normal"/>
    <w:pPr>
      <w:spacing w:after="240"/>
      <w:contextualSpacing/>
      <w:jc w:val="left"/>
    </w:pPr>
  </w:style>
  <w:style w:type="paragraph" w:styleId="Signature">
    <w:name w:val="Signature"/>
    <w:basedOn w:val="Normal"/>
    <w:pPr>
      <w:keepNext/>
      <w:spacing w:after="240"/>
      <w:ind w:left="4320"/>
      <w:contextualSpacing/>
      <w:jc w:val="left"/>
    </w:pPr>
  </w:style>
  <w:style w:type="paragraph" w:customStyle="1" w:styleId="Break">
    <w:name w:val="*Break"/>
    <w:aliases w:val="BRK"/>
    <w:basedOn w:val="Normal"/>
    <w:pPr>
      <w:widowControl w:val="0"/>
      <w:jc w:val="left"/>
    </w:pPr>
  </w:style>
  <w:style w:type="paragraph" w:customStyle="1" w:styleId="TagLineFooter">
    <w:name w:val="*TagLine Footer"/>
    <w:aliases w:val="TGF"/>
    <w:basedOn w:val="Break"/>
    <w:rPr>
      <w:sz w:val="16"/>
    </w:rPr>
  </w:style>
  <w:style w:type="paragraph" w:customStyle="1" w:styleId="TagLine">
    <w:name w:val="*TagLine"/>
    <w:aliases w:val="TGL"/>
    <w:basedOn w:val="Normal"/>
    <w:pPr>
      <w:spacing w:before="360"/>
      <w:jc w:val="left"/>
    </w:pPr>
    <w:rPr>
      <w:sz w:val="16"/>
    </w:rPr>
  </w:style>
  <w:style w:type="character" w:styleId="Hyperlink">
    <w:name w:val="Hyperlink"/>
    <w:rPr>
      <w:color w:val="0000FF"/>
      <w:u w:val="single"/>
    </w:rPr>
  </w:style>
  <w:style w:type="character" w:styleId="FootnoteReference">
    <w:name w:val="footnote reference"/>
    <w:semiHidden/>
    <w:rPr>
      <w:vertAlign w:val="superscript"/>
    </w:rPr>
  </w:style>
  <w:style w:type="numbering" w:styleId="111111">
    <w:name w:val="Outline List 2"/>
    <w:basedOn w:val="NoList"/>
    <w:pPr>
      <w:numPr>
        <w:numId w:val="11"/>
      </w:numPr>
    </w:pPr>
  </w:style>
  <w:style w:type="numbering" w:styleId="ArticleSection">
    <w:name w:val="Outline List 3"/>
    <w:basedOn w:val="NoList"/>
    <w:pPr>
      <w:numPr>
        <w:numId w:val="13"/>
      </w:numPr>
    </w:pPr>
  </w:style>
  <w:style w:type="paragraph" w:styleId="BalloonText">
    <w:name w:val="Balloon Text"/>
    <w:basedOn w:val="Normal"/>
    <w:link w:val="BalloonTextChar"/>
    <w:rsid w:val="004768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8CB"/>
    <w:rPr>
      <w:rFonts w:ascii="Tahoma" w:hAnsi="Tahoma" w:cs="Tahoma"/>
      <w:sz w:val="16"/>
      <w:szCs w:val="16"/>
    </w:rPr>
  </w:style>
  <w:style w:type="paragraph" w:customStyle="1" w:styleId="FS">
    <w:name w:val="FS"/>
    <w:aliases w:val="File Stamp"/>
    <w:basedOn w:val="Normal"/>
    <w:rsid w:val="004768CB"/>
    <w:pPr>
      <w:spacing w:before="360"/>
      <w:jc w:val="left"/>
    </w:pPr>
    <w:rPr>
      <w:rFonts w:asciiTheme="minorHAnsi" w:hAnsiTheme="minorHAnsi"/>
      <w:sz w:val="16"/>
    </w:rPr>
  </w:style>
  <w:style w:type="paragraph" w:customStyle="1" w:styleId="FSF">
    <w:name w:val="FSF"/>
    <w:aliases w:val="File Stamp Footer"/>
    <w:basedOn w:val="Normal"/>
    <w:rsid w:val="004768CB"/>
    <w:pPr>
      <w:jc w:val="left"/>
    </w:pPr>
    <w:rPr>
      <w:rFonts w:asciiTheme="minorHAnsi" w:hAnsiTheme="minorHAnsi"/>
      <w:bCs/>
      <w:sz w:val="16"/>
    </w:rPr>
  </w:style>
  <w:style w:type="character" w:styleId="FollowedHyperlink">
    <w:name w:val="FollowedHyperlink"/>
    <w:basedOn w:val="DefaultParagraphFont"/>
    <w:semiHidden/>
    <w:unhideWhenUsed/>
    <w:rsid w:val="00FC0CE6"/>
    <w:rPr>
      <w:color w:val="800080" w:themeColor="followedHyperlink"/>
      <w:u w:val="single"/>
    </w:rPr>
  </w:style>
  <w:style w:type="paragraph" w:customStyle="1" w:styleId="FileStampParagraph">
    <w:name w:val="File Stamp Paragraph"/>
    <w:basedOn w:val="Normal"/>
    <w:link w:val="FileStampParagraphChar"/>
    <w:qFormat/>
    <w:rsid w:val="00CE1C60"/>
    <w:pPr>
      <w:spacing w:after="160" w:line="259" w:lineRule="auto"/>
      <w:jc w:val="left"/>
    </w:pPr>
    <w:rPr>
      <w:rFonts w:ascii="Calibri" w:hAnsi="Calibri" w:cstheme="minorBidi"/>
      <w:sz w:val="16"/>
    </w:rPr>
  </w:style>
  <w:style w:type="character" w:customStyle="1" w:styleId="FileStampParagraphChar">
    <w:name w:val="File Stamp Paragraph Char"/>
    <w:basedOn w:val="DefaultParagraphFont"/>
    <w:link w:val="FileStampParagraph"/>
    <w:rsid w:val="00CE1C60"/>
    <w:rPr>
      <w:rFonts w:ascii="Calibri" w:hAnsi="Calibri" w:cstheme="minorBidi"/>
      <w:sz w:val="16"/>
      <w:szCs w:val="24"/>
    </w:rPr>
  </w:style>
  <w:style w:type="character" w:customStyle="1" w:styleId="FileStampCharacter">
    <w:name w:val="File Stamp Character"/>
    <w:basedOn w:val="DefaultParagraphFont"/>
    <w:uiPriority w:val="1"/>
    <w:qFormat/>
    <w:rsid w:val="00CE1C60"/>
    <w:rPr>
      <w:rFonts w:ascii="Calibri" w:hAnsi="Calibri" w:cstheme="minorBidi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snapToGrid w:val="0"/>
      <w:vanish w:val="0"/>
      <w:color w:val="auto"/>
      <w:spacing w:val="0"/>
      <w:w w:val="100"/>
      <w:kern w:val="0"/>
      <w:position w:val="0"/>
      <w:sz w:val="16"/>
      <w:u w:val="none"/>
      <w:effect w:val="none"/>
      <w:bdr w:val="none" w:sz="0" w:space="0" w:color="auto"/>
      <w:vertAlign w:val="baseline"/>
      <w:em w:val="none"/>
      <w:lang w:val="en-US"/>
    </w:rPr>
  </w:style>
  <w:style w:type="character" w:styleId="PlaceholderText">
    <w:name w:val="Placeholder Text"/>
    <w:basedOn w:val="DefaultParagraphFont"/>
    <w:uiPriority w:val="99"/>
    <w:semiHidden/>
    <w:rsid w:val="00CE1C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9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ndrewpayton@wyattfirm.com" TargetMode="Externa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www.wyattfirm.com/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advancelaw.com/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My%20LegalBar\Templates\Press%20Release%20Template%20-%20December%202020%20-%20New%20Logo.docx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DF987CA508141A39EE67F97CCAA91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EFE8F3-08A0-4056-8034-4AAD5A519A77}"/>
      </w:docPartPr>
      <w:docPartBody>
        <w:p w:rsidR="007654A4" w:rsidRDefault="007654A4"/>
      </w:docPartBody>
    </w:docPart>
    <w:docPart>
      <w:docPartPr>
        <w:name w:val="2B8C0D8C00F44F4ABEAAA80E7AFE2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CDAE10-2CC2-4930-BDC7-2DD366FC6FCD}"/>
      </w:docPartPr>
      <w:docPartBody>
        <w:p w:rsidR="007654A4" w:rsidRDefault="007654A4"/>
      </w:docPartBody>
    </w:docPart>
    <w:docPart>
      <w:docPartPr>
        <w:name w:val="B5BB875B210446AB800A4459DEBFF4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A4F54D-667E-4E9D-A0A7-A3E60D4BD7F7}"/>
      </w:docPartPr>
      <w:docPartBody>
        <w:p w:rsidR="007654A4" w:rsidRDefault="007654A4"/>
      </w:docPartBody>
    </w:docPart>
    <w:docPart>
      <w:docPartPr>
        <w:name w:val="EAE47DB157964D5DB15303E379D859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CCE28-A6E2-48A1-819A-AAC97F904A5F}"/>
      </w:docPartPr>
      <w:docPartBody>
        <w:p w:rsidR="007654A4" w:rsidRDefault="007654A4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Slab">
    <w:panose1 w:val="00000000000000000000"/>
    <w:charset w:val="00"/>
    <w:family w:val="auto"/>
    <w:pitch w:val="variable"/>
    <w:sig w:usb0="200002FF" w:usb1="00000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E1C"/>
    <w:rsid w:val="007654A4"/>
    <w:rsid w:val="00AD5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D5E1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3">
      <a:majorFont>
        <a:latin typeface="Roboto Slab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filestamp xmlns="http://schemas.beclegal.com/legalbar/filestamp">
  <CurrentDate>8/18/2022</CurrentDate>
  <CurrentTime>1:42 PM</CurrentTime>
  <Author>DSCHIFFERDECKER</Author>
  <Typist>DSCHIFFERDECKER</Typist>
  <Class>EMAIL_CORRESPONDENCE</Class>
  <SubClass/>
  <FileName/>
  <DescriptiveName>Press Release - Best Lawyers 2023 Edition</DescriptiveName>
  <DMLibrary>WYATTDATA</DMLibrary>
  <FileStampFormatID>1</FileStampFormatID>
  <Placement>EndOfDocument</Placement>
  <Client>000001</Client>
  <Matter>000003</Matter>
  <DocNumber>100859178</DocNumber>
  <Version>1</Version>
  <IWL>iwl:dms=WYATTFIRM.IMANAGE.WORK&amp;&amp;lib=WYATTDATA&amp;&amp;num=100859178&amp;&amp;ver=1</IWL>
  <DMCustom1>000001</DMCustom1>
  <DMCustom1Description>WYATT, TARRANT &amp; COMBS, LLP</DMCustom1Description>
  <DMCustom2>000003</DMCustom2>
  <DMCustom2Description>MARKETING</DMCustom2Description>
  <DMCustom3/>
  <DMCustom4/>
  <DMCustom5/>
  <DMCustom6/>
  <DMCustom7/>
  <DMCustom8/>
  <DMCustom9/>
  <DMCustom10/>
  <DMCustom11/>
  <DMCustom12/>
  <DMCustom13/>
  <DMCustom14/>
  <DMCustom15/>
  <DMCustom16/>
  <DMCustom17/>
  <DMCustom18/>
  <DMCustom19/>
  <DMCustom20/>
  <DMCustom21/>
  <DMCustom22/>
  <DMCustom23/>
  <DMCustom24/>
  <DMCustom25/>
  <DMCustom26/>
  <DMCustom27/>
  <DMCustom28/>
  <DMCustom29>MARKETING</DMCustom29>
  <DMCustom30/>
  <DMCustom31/>
  <Stamp xmlns="">
    <Format>DocNumber;Text:.;Version;</Format>
    <Value>100859178.1</Value>
  </Stamp>
  <FilePath>C:\Users\dschifferdecker\AppData\Roaming\iManage\Work\Recent\WYATT_ TARRANT _ COMBS_ LLP - MARKETING (000001.000003)\Press Release - Best Lawyers 2023 Edition(100859178.1).docx</FilePath>
</filestamp>
</file>

<file path=customXml/item2.xml>��
</file>

<file path=customXml/itemProps1.xml><?xml version="1.0" encoding="utf-8"?>
<ds:datastoreItem xmlns:ds="http://schemas.openxmlformats.org/officeDocument/2006/customXml" ds:itemID="{9C835A8B-2A54-46FF-A6C6-EFA98A3A59E1}">
  <ds:schemaRefs>
    <ds:schemaRef ds:uri="http://schemas.beclegal.com/legalbar/filestamp"/>
    <ds:schemaRef ds:uri=""/>
  </ds:schemaRefs>
</ds:datastoreItem>
</file>

<file path=customXml/itemProps2.xml><?xml version="1.0" encoding="utf-8"?>
<ds:datastoreItem xmlns:ds="http://schemas.openxmlformats.org/officeDocument/2006/customXml" ds:itemID="{CE6C8210-6603-4F9E-A966-8159E3BE850F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 Release Template - December 2020 - New Logo.docx.dotx</Template>
  <TotalTime>0</TotalTime>
  <Pages>5</Pages>
  <Words>949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RELEASE TITLE</vt:lpstr>
    </vt:vector>
  </TitlesOfParts>
  <Company>Wyatt, Tarrant &amp; Combs, LLP</Company>
  <LinksUpToDate>false</LinksUpToDate>
  <CharactersWithSpaces>6414</CharactersWithSpaces>
  <SharedDoc>false</SharedDoc>
  <HLinks>
    <vt:vector size="54" baseType="variant">
      <vt:variant>
        <vt:i4>7602236</vt:i4>
      </vt:variant>
      <vt:variant>
        <vt:i4>24</vt:i4>
      </vt:variant>
      <vt:variant>
        <vt:i4>0</vt:i4>
      </vt:variant>
      <vt:variant>
        <vt:i4>5</vt:i4>
      </vt:variant>
      <vt:variant>
        <vt:lpwstr>https://plus.google.com/+Wyattfirm</vt:lpwstr>
      </vt:variant>
      <vt:variant>
        <vt:lpwstr>+Wyattfirm/posts</vt:lpwstr>
      </vt:variant>
      <vt:variant>
        <vt:i4>524379</vt:i4>
      </vt:variant>
      <vt:variant>
        <vt:i4>21</vt:i4>
      </vt:variant>
      <vt:variant>
        <vt:i4>0</vt:i4>
      </vt:variant>
      <vt:variant>
        <vt:i4>5</vt:i4>
      </vt:variant>
      <vt:variant>
        <vt:lpwstr>https://twitter.com/WyattLLP</vt:lpwstr>
      </vt:variant>
      <vt:variant>
        <vt:lpwstr/>
      </vt:variant>
      <vt:variant>
        <vt:i4>4128811</vt:i4>
      </vt:variant>
      <vt:variant>
        <vt:i4>18</vt:i4>
      </vt:variant>
      <vt:variant>
        <vt:i4>0</vt:i4>
      </vt:variant>
      <vt:variant>
        <vt:i4>5</vt:i4>
      </vt:variant>
      <vt:variant>
        <vt:lpwstr>https://www.facebook.com/pages/Wyatt-Tarrant-Combs-LLP/223134837716706</vt:lpwstr>
      </vt:variant>
      <vt:variant>
        <vt:lpwstr/>
      </vt:variant>
      <vt:variant>
        <vt:i4>262150</vt:i4>
      </vt:variant>
      <vt:variant>
        <vt:i4>15</vt:i4>
      </vt:variant>
      <vt:variant>
        <vt:i4>0</vt:i4>
      </vt:variant>
      <vt:variant>
        <vt:i4>5</vt:i4>
      </vt:variant>
      <vt:variant>
        <vt:lpwstr>http://www.linkedin.com/company/wyatt-tarrant-&amp;-combs-llp</vt:lpwstr>
      </vt:variant>
      <vt:variant>
        <vt:lpwstr/>
      </vt:variant>
      <vt:variant>
        <vt:i4>8126559</vt:i4>
      </vt:variant>
      <vt:variant>
        <vt:i4>12</vt:i4>
      </vt:variant>
      <vt:variant>
        <vt:i4>0</vt:i4>
      </vt:variant>
      <vt:variant>
        <vt:i4>5</vt:i4>
      </vt:variant>
      <vt:variant>
        <vt:lpwstr>mailto:andrewpayton@wyattfirm.com</vt:lpwstr>
      </vt:variant>
      <vt:variant>
        <vt:lpwstr/>
      </vt:variant>
      <vt:variant>
        <vt:i4>4390920</vt:i4>
      </vt:variant>
      <vt:variant>
        <vt:i4>9</vt:i4>
      </vt:variant>
      <vt:variant>
        <vt:i4>0</vt:i4>
      </vt:variant>
      <vt:variant>
        <vt:i4>5</vt:i4>
      </vt:variant>
      <vt:variant>
        <vt:lpwstr>http://www.wyattfirm.com/</vt:lpwstr>
      </vt:variant>
      <vt:variant>
        <vt:lpwstr/>
      </vt:variant>
      <vt:variant>
        <vt:i4>3670051</vt:i4>
      </vt:variant>
      <vt:variant>
        <vt:i4>6</vt:i4>
      </vt:variant>
      <vt:variant>
        <vt:i4>0</vt:i4>
      </vt:variant>
      <vt:variant>
        <vt:i4>5</vt:i4>
      </vt:variant>
      <vt:variant>
        <vt:lpwstr>http://www.advancelaw.com/</vt:lpwstr>
      </vt:variant>
      <vt:variant>
        <vt:lpwstr/>
      </vt:variant>
      <vt:variant>
        <vt:i4>4194385</vt:i4>
      </vt:variant>
      <vt:variant>
        <vt:i4>3</vt:i4>
      </vt:variant>
      <vt:variant>
        <vt:i4>0</vt:i4>
      </vt:variant>
      <vt:variant>
        <vt:i4>5</vt:i4>
      </vt:variant>
      <vt:variant>
        <vt:lpwstr>http://www.lexmundi.com/</vt:lpwstr>
      </vt:variant>
      <vt:variant>
        <vt:lpwstr/>
      </vt:variant>
      <vt:variant>
        <vt:i4>5374033</vt:i4>
      </vt:variant>
      <vt:variant>
        <vt:i4>0</vt:i4>
      </vt:variant>
      <vt:variant>
        <vt:i4>0</vt:i4>
      </vt:variant>
      <vt:variant>
        <vt:i4>5</vt:i4>
      </vt:variant>
      <vt:variant>
        <vt:lpwstr>http://www.dupontlegalmodel.com/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TITLE</dc:title>
  <dc:subject/>
  <dc:creator>Schifferdecker, Dianne</dc:creator>
  <cp:keywords/>
  <dc:description/>
  <cp:lastModifiedBy>Schifferdecker, Dianne</cp:lastModifiedBy>
  <cp:revision>2</cp:revision>
  <cp:lastPrinted>2019-09-09T17:50:00Z</cp:lastPrinted>
  <dcterms:created xsi:type="dcterms:W3CDTF">2022-08-19T14:11:00Z</dcterms:created>
  <dcterms:modified xsi:type="dcterms:W3CDTF">2022-08-19T14:11:00Z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VersionNumber">
    <vt:lpwstr>.1</vt:lpwstr>
  </property>
</Properties>
</file>